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commentsIdsDocument.xml" ContentType="application/vnd.openxmlformats-officedocument.wordprocessingml.commentsId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footer1.xml" ContentType="application/vnd.openxmlformats-officedocument.wordprocessingml.footer+xml"/>
  <Override PartName="/word/numbering.xml" ContentType="application/vnd.openxmlformats-officedocument.wordprocessingml.numbering+xml"/>
  <Override PartName="/docProps/custom.xml" ContentType="application/vnd.openxmlformats-officedocument.custom-properties+xml"/>
  <Override PartName="/word/header1.xml" ContentType="application/vnd.openxmlformats-officedocument.wordprocessingml.header+xml"/>
  <Override PartName="/word/theme/theme1.xml" ContentType="application/vnd.openxmlformats-officedocument.theme+xml"/>
  <Override PartName="/word/endnotes.xml" ContentType="application/vnd.openxmlformats-officedocument.wordprocessingml.endnotes+xml"/>
  <Override PartName="/word/fontTable.xml" ContentType="application/vnd.openxmlformats-officedocument.wordprocessingml.fontTable+xml"/>
  <Override PartName="/word/webSettings.xml" ContentType="application/vnd.openxmlformats-officedocument.wordprocessingml.webSettings+xml"/>
  <Override PartName="/customXml/itemProps6.xml" ContentType="application/vnd.openxmlformats-officedocument.customXmlProperties+xml"/>
  <Override PartName="/customXml/itemProps5.xml" ContentType="application/vnd.openxmlformats-officedocument.customXmlProperties+xml"/>
  <Override PartName="/customXml/itemProps3.xml" ContentType="application/vnd.openxmlformats-officedocument.customXmlProperties+xml"/>
  <Override PartName="/word/settings.xml" ContentType="application/vnd.openxmlformats-officedocument.wordprocessingml.settings+xml"/>
  <Override PartName="/word/document.xml" ContentType="application/vnd.openxmlformats-officedocument.wordprocessingml.document.main+xml"/>
  <Override PartName="/customXml/itemProps2.xml" ContentType="application/vnd.openxmlformats-officedocument.customXmlProperties+xml"/>
  <Override PartName="/customXml/itemProps1.xml" ContentType="application/vnd.openxmlformats-officedocument.customXmlProperties+xml"/>
  <Override PartName="/word/footnotes.xml" ContentType="application/vnd.openxmlformats-officedocument.wordprocessingml.footnotes+xml"/>
  <Override PartName="/customXml/itemProps4.xml" ContentType="application/vnd.openxmlformats-officedocument.customXmlProperti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spacing w:line="276" w:lineRule="auto"/>
        <w:tabs>
          <w:tab w:val="left" w:pos="3677" w:leader="underscore"/>
        </w:tabs>
        <w:rPr>
          <w:b/>
          <w:bCs/>
          <w:color w:val="000000"/>
          <w:sz w:val="20"/>
          <w:szCs w:val="20"/>
        </w:rPr>
      </w:pPr>
      <w:r>
        <w:rPr>
          <w:b/>
          <w:bCs/>
          <w:color w:val="000000"/>
          <w:sz w:val="20"/>
          <w:szCs w:val="20"/>
        </w:rPr>
      </w:r>
      <w:r>
        <w:rPr>
          <w:b/>
          <w:bCs/>
          <w:color w:val="000000"/>
          <w:sz w:val="20"/>
          <w:szCs w:val="20"/>
        </w:rPr>
      </w:r>
      <w:r>
        <w:rPr>
          <w:b/>
          <w:bCs/>
          <w:color w:val="000000"/>
          <w:sz w:val="20"/>
          <w:szCs w:val="20"/>
        </w:rPr>
      </w:r>
    </w:p>
    <w:p>
      <w:pPr>
        <w:ind w:firstLine="851"/>
        <w:jc w:val="center"/>
        <w:tabs>
          <w:tab w:val="left" w:pos="3677" w:leader="underscore"/>
        </w:tabs>
        <w:rPr>
          <w:b/>
          <w:color w:val="000000"/>
        </w:rPr>
      </w:pPr>
      <w:r>
        <w:rPr>
          <w:b/>
          <w:color w:val="000000"/>
        </w:rPr>
        <w:t xml:space="preserve">ДОГОВОР ПОДРЯДА № _____</w:t>
      </w:r>
      <w:r>
        <w:rPr>
          <w:b/>
          <w:color w:val="000000"/>
        </w:rPr>
      </w:r>
      <w:r>
        <w:rPr>
          <w:b/>
          <w:color w:val="000000"/>
        </w:rPr>
      </w:r>
    </w:p>
    <w:p>
      <w:pPr>
        <w:ind w:firstLine="851"/>
        <w:jc w:val="center"/>
        <w:tabs>
          <w:tab w:val="left" w:pos="3677" w:leader="underscore"/>
        </w:tabs>
        <w:rPr>
          <w:b/>
          <w:color w:val="000000"/>
        </w:rPr>
      </w:pPr>
      <w:r>
        <w:rPr>
          <w:b/>
          <w:color w:val="000000"/>
        </w:rPr>
        <w:t xml:space="preserve">на выполнение комплекса проектно-изыскательских </w:t>
      </w:r>
      <w:r>
        <w:rPr>
          <w:b/>
          <w:color w:val="000000"/>
        </w:rPr>
      </w:r>
      <w:r>
        <w:rPr>
          <w:b/>
          <w:color w:val="000000"/>
        </w:rPr>
      </w:r>
    </w:p>
    <w:p>
      <w:pPr>
        <w:ind w:firstLine="851"/>
        <w:jc w:val="center"/>
        <w:tabs>
          <w:tab w:val="left" w:pos="3677" w:leader="underscore"/>
        </w:tabs>
        <w:rPr>
          <w:b/>
          <w:color w:val="000000"/>
        </w:rPr>
      </w:pPr>
      <w:r>
        <w:rPr>
          <w:b/>
          <w:color w:val="000000"/>
        </w:rPr>
        <w:t xml:space="preserve">и строительно-монтажных работ</w:t>
      </w:r>
      <w:r>
        <w:rPr>
          <w:b/>
          <w:color w:val="000000"/>
        </w:rPr>
      </w:r>
      <w:r>
        <w:rPr>
          <w:b/>
          <w:color w:val="000000"/>
        </w:rPr>
      </w:r>
    </w:p>
    <w:p>
      <w:pPr>
        <w:ind w:firstLine="851"/>
        <w:jc w:val="center"/>
        <w:spacing w:line="276" w:lineRule="auto"/>
        <w:tabs>
          <w:tab w:val="left" w:pos="3677" w:leader="underscore"/>
        </w:tabs>
        <w:rPr>
          <w:b/>
          <w:color w:val="000000"/>
        </w:rPr>
      </w:pPr>
      <w:r>
        <w:rPr>
          <w:b/>
          <w:color w:val="000000"/>
        </w:rPr>
      </w:r>
      <w:r>
        <w:rPr>
          <w:b/>
          <w:color w:val="000000"/>
        </w:rPr>
      </w:r>
      <w:r>
        <w:rPr>
          <w:b/>
          <w:color w:val="000000"/>
        </w:rPr>
      </w:r>
    </w:p>
    <w:p>
      <w:pPr>
        <w:jc w:val="both"/>
        <w:tabs>
          <w:tab w:val="left" w:pos="6667" w:leader="none"/>
          <w:tab w:val="left" w:pos="7152" w:leader="underscore"/>
          <w:tab w:val="left" w:pos="8606" w:leader="underscore"/>
        </w:tabs>
        <w:rPr>
          <w:color w:val="000000"/>
        </w:rPr>
      </w:pPr>
      <w:r>
        <w:rPr>
          <w:color w:val="000000"/>
        </w:rPr>
        <w:t xml:space="preserve">г. Санкт-Петербург                                                                                   </w:t>
      </w:r>
      <w:r>
        <w:rPr>
          <w:color w:val="000000"/>
        </w:rPr>
        <w:t xml:space="preserve">   «</w:t>
      </w:r>
      <w:r>
        <w:rPr>
          <w:color w:val="000000"/>
        </w:rPr>
        <w:t xml:space="preserve">___»_________20___г.</w:t>
      </w:r>
      <w:r>
        <w:rPr>
          <w:color w:val="000000"/>
        </w:rPr>
      </w:r>
      <w:r>
        <w:rPr>
          <w:color w:val="000000"/>
        </w:rPr>
      </w:r>
    </w:p>
    <w:p>
      <w:pPr>
        <w:ind w:firstLine="851"/>
        <w:jc w:val="both"/>
        <w:tabs>
          <w:tab w:val="left" w:pos="6667" w:leader="none"/>
          <w:tab w:val="left" w:pos="7152" w:leader="underscore"/>
          <w:tab w:val="left" w:pos="8606" w:leader="underscore"/>
        </w:tabs>
        <w:rPr>
          <w:color w:val="000000"/>
        </w:rPr>
      </w:pPr>
      <w:r>
        <w:rPr>
          <w:color w:val="000000"/>
        </w:rPr>
      </w:r>
      <w:r>
        <w:rPr>
          <w:color w:val="000000"/>
        </w:rPr>
      </w:r>
      <w:r>
        <w:rPr>
          <w:color w:val="000000"/>
        </w:rPr>
      </w:r>
    </w:p>
    <w:p>
      <w:pPr>
        <w:ind w:firstLine="851"/>
        <w:jc w:val="both"/>
        <w:shd w:val="clear" w:color="auto" w:fill="ffffff"/>
        <w:rPr>
          <w:bCs/>
        </w:rPr>
      </w:pPr>
      <w:r>
        <w:t xml:space="preserve">Публичное акционерное общество «</w:t>
      </w:r>
      <w:r>
        <w:t xml:space="preserve">Россети</w:t>
      </w:r>
      <w:r>
        <w:t xml:space="preserve"> Ленэнерго», именуемое в дальнейшем - «Заказчик», в лице_____________________________________, действующего на основании _____________________________________________, с одной стороны, и ____________________________, </w:t>
      </w:r>
      <w:r>
        <w:t xml:space="preserve">именуемое в дальнейшем - «Подрядчик», в лице _________________________________________________________________, действующего на основании ___________________________________________________________________, </w:t>
      </w:r>
      <w:r>
        <w:rPr>
          <w:bCs/>
        </w:rPr>
      </w:r>
      <w:r>
        <w:rPr>
          <w:bCs/>
        </w:rPr>
      </w:r>
    </w:p>
    <w:p>
      <w:pPr>
        <w:jc w:val="both"/>
        <w:shd w:val="clear" w:color="auto" w:fill="ffffff"/>
        <w:rPr>
          <w:color w:val="000000"/>
        </w:rPr>
      </w:pPr>
      <w:r>
        <w:t xml:space="preserve">с другой стороны, вместе в дальнейшем именуемые </w:t>
      </w:r>
      <w:r>
        <w:t xml:space="preserve">– «Стороны», на основании протокола о результатах закупочной процедуры на право заключения договора подряда от «__» _________ 20___ г. № _____ </w:t>
      </w:r>
      <w:r>
        <w:rPr>
          <w:i/>
        </w:rPr>
        <w:t xml:space="preserve">и извещения о закупке на сайте </w:t>
      </w:r>
      <w:r>
        <w:rPr>
          <w:i/>
          <w:lang w:val="en-US"/>
        </w:rPr>
        <w:t xml:space="preserve">zakupki</w:t>
      </w:r>
      <w:r>
        <w:rPr>
          <w:i/>
        </w:rPr>
        <w:t xml:space="preserve">.</w:t>
      </w:r>
      <w:r>
        <w:rPr>
          <w:i/>
          <w:lang w:val="en-US"/>
        </w:rPr>
        <w:t xml:space="preserve">gov</w:t>
      </w:r>
      <w:r>
        <w:rPr>
          <w:i/>
        </w:rPr>
        <w:t xml:space="preserve">.</w:t>
      </w:r>
      <w:r>
        <w:rPr>
          <w:i/>
          <w:lang w:val="en-US"/>
        </w:rPr>
        <w:t xml:space="preserve">ru</w:t>
      </w:r>
      <w:r>
        <w:rPr>
          <w:i/>
        </w:rPr>
        <w:t xml:space="preserve"> №___________,</w:t>
      </w:r>
      <w:r>
        <w:rPr>
          <w:rStyle w:val="1779"/>
          <w:i/>
        </w:rPr>
        <w:footnoteReference w:id="3"/>
      </w:r>
      <w:r>
        <w:t xml:space="preserve">, </w:t>
      </w:r>
      <w:r>
        <w:rPr>
          <w:i/>
        </w:rPr>
        <w:t xml:space="preserve">в соответствии с условиями, </w:t>
      </w:r>
      <w:r>
        <w:t xml:space="preserve">заключили Договор (дале</w:t>
      </w:r>
      <w:r>
        <w:t xml:space="preserve">е по тексту - Договор) о нижеследующем</w:t>
      </w:r>
      <w:r>
        <w:rPr>
          <w:color w:val="000000"/>
        </w:rPr>
        <w:t xml:space="preserve">:</w:t>
      </w:r>
      <w:r>
        <w:rPr>
          <w:color w:val="000000"/>
        </w:rPr>
      </w:r>
      <w:r>
        <w:rPr>
          <w:color w:val="000000"/>
        </w:rPr>
      </w:r>
    </w:p>
    <w:p>
      <w:pPr>
        <w:jc w:val="both"/>
        <w:rPr>
          <w:bCs/>
          <w:color w:val="000000"/>
        </w:rPr>
      </w:pPr>
      <w:r>
        <w:rPr>
          <w:bCs/>
          <w:color w:val="000000"/>
        </w:rPr>
      </w:r>
      <w:r>
        <w:rPr>
          <w:bCs/>
          <w:color w:val="000000"/>
        </w:rPr>
      </w:r>
      <w:r>
        <w:rPr>
          <w:bCs/>
          <w:color w:val="000000"/>
        </w:rPr>
      </w:r>
    </w:p>
    <w:p>
      <w:pPr>
        <w:numPr>
          <w:ilvl w:val="0"/>
          <w:numId w:val="3"/>
        </w:numPr>
        <w:ind w:left="0" w:firstLine="1134"/>
        <w:jc w:val="center"/>
        <w:rPr>
          <w:b/>
          <w:bCs/>
          <w:color w:val="000000"/>
        </w:rPr>
      </w:pPr>
      <w:r>
        <w:rPr>
          <w:b/>
          <w:bCs/>
          <w:color w:val="000000"/>
        </w:rPr>
        <w:t xml:space="preserve">Предмет Договора</w:t>
      </w:r>
      <w:r>
        <w:rPr>
          <w:b/>
          <w:bCs/>
          <w:color w:val="000000"/>
        </w:rPr>
      </w:r>
      <w:r>
        <w:rPr>
          <w:b/>
          <w:bCs/>
          <w:color w:val="000000"/>
        </w:rPr>
      </w:r>
    </w:p>
    <w:p>
      <w:pPr>
        <w:ind w:firstLine="851"/>
        <w:jc w:val="both"/>
        <w:tabs>
          <w:tab w:val="left" w:pos="-284" w:leader="none"/>
        </w:tabs>
        <w:rPr>
          <w:b/>
          <w:iCs/>
          <w:color w:val="000000"/>
        </w:rPr>
      </w:pPr>
      <w:r>
        <w:rPr>
          <w:color w:val="000000"/>
        </w:rPr>
        <w:t xml:space="preserve">1.1. По Договору Подрядчик обязуется в установленный срок по заданию Заказчика выполнить комплекс проектно-изыскательских и строительно-монтажных работ по объекту: </w:t>
      </w:r>
      <w:r>
        <w:rPr>
          <w:b/>
          <w:iCs/>
          <w:color w:val="000000"/>
        </w:rPr>
        <w:t xml:space="preserve">__________________________________</w:t>
      </w:r>
      <w:r>
        <w:rPr>
          <w:b/>
          <w:iCs/>
          <w:color w:val="000000"/>
        </w:rPr>
        <w:t xml:space="preserve">______________________________________________ </w:t>
      </w:r>
      <w:r>
        <w:rPr>
          <w:b/>
          <w:iCs/>
          <w:color w:val="000000"/>
        </w:rPr>
      </w:r>
      <w:r>
        <w:rPr>
          <w:b/>
          <w:iCs/>
          <w:color w:val="000000"/>
        </w:rPr>
      </w:r>
    </w:p>
    <w:p>
      <w:pPr>
        <w:ind w:firstLine="851"/>
        <w:jc w:val="both"/>
        <w:tabs>
          <w:tab w:val="left" w:pos="-284" w:leader="none"/>
        </w:tabs>
        <w:rPr>
          <w:i/>
          <w:color w:val="000000"/>
        </w:rPr>
      </w:pPr>
      <w:r>
        <w:rPr>
          <w:color w:val="000000"/>
        </w:rPr>
        <w:t xml:space="preserve">включающий</w:t>
      </w:r>
      <w:r>
        <w:rPr>
          <w:iCs/>
          <w:color w:val="000000"/>
        </w:rPr>
        <w:t xml:space="preserve">:</w:t>
      </w:r>
      <w:r>
        <w:rPr>
          <w:color w:val="000000"/>
        </w:rPr>
        <w:t xml:space="preserve"> </w:t>
      </w:r>
      <w:r>
        <w:rPr>
          <w:i/>
          <w:color w:val="000000"/>
        </w:rPr>
      </w:r>
      <w:r>
        <w:rPr>
          <w:i/>
          <w:color w:val="000000"/>
        </w:rPr>
      </w:r>
    </w:p>
    <w:p>
      <w:pPr>
        <w:ind w:firstLine="851"/>
        <w:jc w:val="both"/>
        <w:shd w:val="clear" w:color="auto" w:fill="ffffff"/>
        <w:widowControl w:val="off"/>
        <w:tabs>
          <w:tab w:val="left" w:pos="-284" w:leader="none"/>
        </w:tabs>
        <w:rPr>
          <w:color w:val="000000"/>
        </w:rPr>
      </w:pPr>
      <w:r>
        <w:rPr>
          <w:color w:val="000000"/>
        </w:rPr>
        <w:t xml:space="preserve">- проектные и изыскательские работы;</w:t>
      </w:r>
      <w:r>
        <w:rPr>
          <w:color w:val="000000"/>
        </w:rPr>
      </w:r>
      <w:r>
        <w:rPr>
          <w:color w:val="000000"/>
        </w:rPr>
      </w:r>
    </w:p>
    <w:p>
      <w:pPr>
        <w:jc w:val="both"/>
        <w:shd w:val="clear" w:color="auto" w:fill="ffffff"/>
        <w:widowControl w:val="off"/>
        <w:tabs>
          <w:tab w:val="left" w:pos="-284" w:leader="none"/>
        </w:tabs>
        <w:rPr>
          <w:color w:val="000000"/>
        </w:rPr>
      </w:pPr>
      <w:r>
        <w:rPr>
          <w:color w:val="000000"/>
        </w:rPr>
        <w:t xml:space="preserve">- в случае предоставления Заказчиком проектно-сметной документации, внесение изменений в такую документацию (при необходимости);</w:t>
      </w:r>
      <w:r>
        <w:rPr>
          <w:color w:val="000000"/>
        </w:rPr>
      </w:r>
      <w:r>
        <w:rPr>
          <w:color w:val="000000"/>
        </w:rPr>
      </w:r>
    </w:p>
    <w:p>
      <w:pPr>
        <w:ind w:firstLine="851"/>
        <w:jc w:val="both"/>
        <w:tabs>
          <w:tab w:val="left" w:pos="-284" w:leader="none"/>
        </w:tabs>
        <w:rPr>
          <w:iCs/>
          <w:color w:val="000000"/>
        </w:rPr>
      </w:pPr>
      <w:r>
        <w:rPr>
          <w:iCs/>
          <w:color w:val="000000"/>
        </w:rPr>
        <w:t xml:space="preserve">- строительно-монтажные </w:t>
      </w:r>
      <w:r>
        <w:rPr>
          <w:iCs/>
          <w:color w:val="000000"/>
        </w:rPr>
        <w:t xml:space="preserve">работ</w:t>
      </w:r>
      <w:r>
        <w:rPr>
          <w:iCs/>
          <w:color w:val="000000"/>
        </w:rPr>
        <w:t xml:space="preserve">ы  с</w:t>
      </w:r>
      <w:r>
        <w:rPr>
          <w:iCs/>
          <w:color w:val="000000"/>
        </w:rPr>
        <w:t xml:space="preserve"> поставкой оборудования (при необходимости);</w:t>
      </w:r>
      <w:r>
        <w:rPr>
          <w:iCs/>
          <w:color w:val="000000"/>
        </w:rPr>
      </w:r>
      <w:r>
        <w:rPr>
          <w:iCs/>
          <w:color w:val="000000"/>
        </w:rPr>
      </w:r>
    </w:p>
    <w:p>
      <w:pPr>
        <w:ind w:firstLine="851"/>
        <w:jc w:val="both"/>
        <w:tabs>
          <w:tab w:val="left" w:pos="-284" w:leader="none"/>
        </w:tabs>
        <w:rPr>
          <w:iCs/>
          <w:color w:val="000000"/>
        </w:rPr>
      </w:pPr>
      <w:r>
        <w:rPr>
          <w:iCs/>
          <w:color w:val="000000"/>
        </w:rPr>
        <w:t xml:space="preserve">- пуско-наладочные работы;</w:t>
      </w:r>
      <w:r>
        <w:rPr>
          <w:iCs/>
          <w:color w:val="000000"/>
        </w:rPr>
      </w:r>
      <w:r>
        <w:rPr>
          <w:iCs/>
          <w:color w:val="000000"/>
        </w:rPr>
      </w:r>
    </w:p>
    <w:p>
      <w:pPr>
        <w:ind w:firstLine="851"/>
        <w:jc w:val="both"/>
        <w:tabs>
          <w:tab w:val="left" w:pos="-284" w:leader="none"/>
        </w:tabs>
        <w:rPr>
          <w:iCs/>
          <w:color w:val="000000"/>
        </w:rPr>
      </w:pPr>
      <w:r>
        <w:rPr>
          <w:iCs/>
          <w:color w:val="000000"/>
        </w:rPr>
        <w:t xml:space="preserve">- ввод объекта в эксплуатацию,</w:t>
      </w:r>
      <w:r>
        <w:rPr>
          <w:iCs/>
          <w:color w:val="000000"/>
        </w:rPr>
      </w:r>
      <w:r>
        <w:rPr>
          <w:iCs/>
          <w:color w:val="000000"/>
        </w:rPr>
      </w:r>
    </w:p>
    <w:p>
      <w:pPr>
        <w:ind w:firstLine="851"/>
        <w:jc w:val="both"/>
        <w:tabs>
          <w:tab w:val="left" w:pos="-284" w:leader="none"/>
        </w:tabs>
        <w:rPr>
          <w:color w:val="000000"/>
        </w:rPr>
      </w:pPr>
      <w:r>
        <w:rPr>
          <w:iCs/>
          <w:color w:val="000000"/>
        </w:rPr>
        <w:t xml:space="preserve">и сдать результат работ</w:t>
      </w:r>
      <w:r>
        <w:rPr>
          <w:color w:val="000000"/>
        </w:rPr>
        <w:t xml:space="preserve"> Заказчику, а Заказчик обязуется принять результат работ </w:t>
      </w:r>
      <w:r>
        <w:rPr>
          <w:color w:val="000000"/>
        </w:rPr>
        <w:br/>
        <w:t xml:space="preserve">и оплатить его в порядке, предусмотренном Договором.</w:t>
      </w:r>
      <w:r>
        <w:rPr>
          <w:color w:val="000000"/>
        </w:rPr>
      </w:r>
      <w:r>
        <w:rPr>
          <w:color w:val="000000"/>
        </w:rPr>
      </w:r>
    </w:p>
    <w:p>
      <w:pPr>
        <w:ind w:firstLine="851"/>
        <w:jc w:val="both"/>
        <w:tabs>
          <w:tab w:val="left" w:pos="-284" w:leader="none"/>
        </w:tabs>
        <w:rPr>
          <w:color w:val="000000"/>
        </w:rPr>
      </w:pPr>
      <w:r>
        <w:rPr>
          <w:color w:val="000000"/>
        </w:rPr>
        <w:t xml:space="preserve">1.2. </w:t>
      </w:r>
      <w:r>
        <w:rPr>
          <w:color w:val="000000"/>
        </w:rPr>
        <w:t xml:space="preserve">Содержание и объем работ, технические, экономические и иные требования </w:t>
      </w:r>
      <w:r>
        <w:rPr>
          <w:color w:val="000000"/>
        </w:rPr>
        <w:br/>
        <w:t xml:space="preserve">к работам по Договору </w:t>
      </w:r>
      <w:r>
        <w:t xml:space="preserve">определены в Техническом задании (Приложение № 1 к Договору), которое является неотъемлемой частью Договора.</w:t>
      </w:r>
      <w:r>
        <w:rPr>
          <w:color w:val="000000"/>
        </w:rPr>
      </w:r>
      <w:r>
        <w:rPr>
          <w:color w:val="000000"/>
        </w:rPr>
      </w:r>
    </w:p>
    <w:p>
      <w:pPr>
        <w:ind w:firstLine="851"/>
        <w:jc w:val="both"/>
        <w:tabs>
          <w:tab w:val="left" w:pos="-284" w:leader="none"/>
        </w:tabs>
        <w:rPr>
          <w:i/>
        </w:rPr>
      </w:pPr>
      <w:r>
        <w:rPr>
          <w:i/>
          <w:color w:val="000000"/>
        </w:rPr>
        <w:t xml:space="preserve">1.3.</w:t>
      </w:r>
      <w:r>
        <w:rPr>
          <w:rStyle w:val="1763"/>
          <w:i/>
          <w:color w:val="000000"/>
        </w:rPr>
        <w:footnoteReference w:id="4"/>
      </w:r>
      <w:r>
        <w:rPr>
          <w:i/>
          <w:color w:val="000000"/>
        </w:rPr>
        <w:t xml:space="preserve"> (Вариант 1) </w:t>
      </w:r>
      <w:r>
        <w:rPr>
          <w:i/>
        </w:rPr>
        <w:t xml:space="preserve">Результатом выполнения работ по Дог</w:t>
      </w:r>
      <w:r>
        <w:rPr>
          <w:i/>
        </w:rPr>
        <w:t xml:space="preserve">овору является Объект, введенный в эксплуатацию, подтвержденный актом приемки законченного строительством объекта приемочной комиссией (форма № РС-14) согласно требованиям, установленным в Техническом задании (Приложение № 1 к Договору).</w:t>
      </w:r>
      <w:r>
        <w:rPr>
          <w:i/>
        </w:rPr>
      </w:r>
      <w:r>
        <w:rPr>
          <w:i/>
        </w:rPr>
      </w:r>
    </w:p>
    <w:p>
      <w:pPr>
        <w:ind w:firstLine="851"/>
        <w:jc w:val="both"/>
        <w:tabs>
          <w:tab w:val="left" w:pos="-284" w:leader="none"/>
        </w:tabs>
        <w:rPr>
          <w:i/>
          <w:color w:val="000000"/>
        </w:rPr>
      </w:pPr>
      <w:r>
        <w:rPr>
          <w:i/>
          <w:color w:val="000000"/>
        </w:rPr>
        <w:t xml:space="preserve">(Вариант 2) Резуль</w:t>
      </w:r>
      <w:r>
        <w:rPr>
          <w:i/>
          <w:color w:val="000000"/>
        </w:rPr>
        <w:t xml:space="preserve">татом работ по </w:t>
      </w:r>
      <w:r>
        <w:rPr>
          <w:i/>
        </w:rPr>
        <w:t xml:space="preserve">Договору, заключенному для</w:t>
      </w:r>
      <w:r>
        <w:rPr>
          <w:i/>
          <w:color w:val="000000" w:themeColor="text1"/>
        </w:rPr>
        <w:t xml:space="preserve"> реализации дополнительных (нетарифных) услуг</w:t>
      </w:r>
      <w:r>
        <w:rPr>
          <w:i/>
          <w:color w:val="000000"/>
        </w:rPr>
        <w:t xml:space="preserve"> является завершенная строительством и введенная в эксплуатацию электроустановка</w:t>
      </w:r>
      <w:r>
        <w:rPr>
          <w:i/>
        </w:rPr>
        <w:t xml:space="preserve">, подтвержденная актом приёмки-передачи Работ в полном объеме (Приложение №16).</w:t>
      </w:r>
      <w:r>
        <w:rPr>
          <w:i/>
          <w:color w:val="000000"/>
        </w:rPr>
      </w:r>
      <w:r>
        <w:rPr>
          <w:i/>
          <w:color w:val="000000"/>
        </w:rPr>
      </w:r>
    </w:p>
    <w:p>
      <w:pPr>
        <w:ind w:firstLine="851"/>
        <w:jc w:val="both"/>
        <w:tabs>
          <w:tab w:val="left" w:pos="-284" w:leader="none"/>
          <w:tab w:val="left" w:pos="-142" w:leader="none"/>
        </w:tabs>
        <w:rPr>
          <w:bCs/>
          <w:color w:val="000000"/>
        </w:rPr>
      </w:pPr>
      <w:r>
        <w:rPr>
          <w:bCs/>
          <w:color w:val="000000"/>
        </w:rPr>
        <w:t xml:space="preserve">Результат </w:t>
      </w:r>
      <w:r>
        <w:rPr>
          <w:bCs/>
          <w:color w:val="000000"/>
        </w:rPr>
        <w:t xml:space="preserve">работ должен соответствовать требованиям действующего законодательства,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w:t>
      </w:r>
      <w:r>
        <w:rPr>
          <w:bCs/>
          <w:color w:val="000000"/>
        </w:rPr>
        <w:t xml:space="preserve">требованиям органов государственной власти и управления, органов местного самоуправления, уполномоченных контролировать, согласовывать, выдавать разрешения, и наделенных другими властными и иными </w:t>
      </w:r>
      <w:r>
        <w:rPr>
          <w:bCs/>
          <w:color w:val="000000"/>
        </w:rPr>
        <w:t xml:space="preserve">полномочиями в отношении создаваемого результата работ, и по</w:t>
      </w:r>
      <w:r>
        <w:rPr>
          <w:bCs/>
          <w:color w:val="000000"/>
        </w:rPr>
        <w:t xml:space="preserve">рядка проведения работ, требованиям Заказчика, иным требованиям, изложенным в настоящем Договоре.</w:t>
      </w:r>
      <w:r>
        <w:rPr>
          <w:bCs/>
          <w:color w:val="000000"/>
        </w:rPr>
      </w:r>
      <w:r>
        <w:rPr>
          <w:bCs/>
          <w:color w:val="000000"/>
        </w:rPr>
      </w:r>
    </w:p>
    <w:p>
      <w:pPr>
        <w:ind w:firstLine="851"/>
        <w:jc w:val="both"/>
        <w:tabs>
          <w:tab w:val="left" w:pos="-284" w:leader="none"/>
          <w:tab w:val="left" w:pos="-142" w:leader="none"/>
        </w:tabs>
        <w:rPr>
          <w:bCs/>
          <w:color w:val="000000"/>
        </w:rPr>
      </w:pPr>
      <w:r>
        <w:rPr>
          <w:bCs/>
          <w:color w:val="000000"/>
        </w:rPr>
        <w:t xml:space="preserve">1.4. Поставка материалов и/или оборудования  осуществляется Подрядчиком согласно утвержденному Заказчиком проекту, кроме </w:t>
      </w:r>
      <w:r>
        <w:rPr>
          <w:color w:val="000000"/>
        </w:rPr>
        <w:t xml:space="preserve">давальческих оборудования </w:t>
      </w:r>
      <w:r>
        <w:rPr>
          <w:color w:val="000000"/>
        </w:rPr>
        <w:br/>
        <w:t xml:space="preserve">и/или мате</w:t>
      </w:r>
      <w:r>
        <w:rPr>
          <w:color w:val="000000"/>
        </w:rPr>
        <w:t xml:space="preserve">риалов</w:t>
      </w:r>
      <w:r>
        <w:rPr>
          <w:bCs/>
          <w:color w:val="000000"/>
        </w:rPr>
        <w:t xml:space="preserve">, переданных Заказчиком Подрядчику.</w:t>
      </w:r>
      <w:r>
        <w:rPr>
          <w:bCs/>
          <w:color w:val="000000"/>
        </w:rPr>
      </w:r>
      <w:r>
        <w:rPr>
          <w:bCs/>
          <w:color w:val="000000"/>
        </w:rPr>
      </w:r>
    </w:p>
    <w:p>
      <w:pPr>
        <w:ind w:firstLine="851"/>
        <w:jc w:val="both"/>
        <w:tabs>
          <w:tab w:val="left" w:pos="-284" w:leader="none"/>
          <w:tab w:val="left" w:pos="-142" w:leader="none"/>
        </w:tabs>
        <w:rPr>
          <w:bCs/>
          <w:color w:val="000000"/>
        </w:rPr>
      </w:pPr>
      <w:r>
        <w:t xml:space="preserve">Заказчик обеспечивает предоставление Подрядчику материалов  и/или оборудования по наименованию, ассортименту и в количестве согласно Техническому заданию только </w:t>
      </w:r>
      <w:r>
        <w:br/>
        <w:t xml:space="preserve">в случаях, если предоставление Заказчиком материалов</w:t>
      </w:r>
      <w:r>
        <w:t xml:space="preserve"> и/или оборудования предусмотрено Техническим заданием. Передача материалов Подрядчику осуществляется по накладной </w:t>
      </w:r>
      <w:r>
        <w:br/>
        <w:t xml:space="preserve">на отпуск материалов на сторону  по форме № М-15 (давальческие материалы). Передача  оборудования Подрядчику осуществляется по акту о приемк</w:t>
      </w:r>
      <w:r>
        <w:t xml:space="preserve">е-передаче оборудования </w:t>
      </w:r>
      <w:r>
        <w:br/>
        <w:t xml:space="preserve">в монтаж (форма № ОС-15).</w:t>
      </w:r>
      <w:r>
        <w:rPr>
          <w:bCs/>
          <w:color w:val="000000"/>
        </w:rPr>
      </w:r>
      <w:r>
        <w:rPr>
          <w:bCs/>
          <w:color w:val="000000"/>
        </w:rPr>
      </w:r>
    </w:p>
    <w:p>
      <w:pPr>
        <w:ind w:firstLine="851"/>
        <w:jc w:val="center"/>
        <w:rPr>
          <w:b/>
          <w:bCs/>
          <w:color w:val="000000"/>
        </w:rPr>
      </w:pPr>
      <w:r>
        <w:rPr>
          <w:b/>
          <w:bCs/>
          <w:color w:val="000000"/>
        </w:rPr>
      </w:r>
      <w:r>
        <w:rPr>
          <w:b/>
          <w:bCs/>
          <w:color w:val="000000"/>
        </w:rPr>
      </w:r>
      <w:r>
        <w:rPr>
          <w:b/>
          <w:bCs/>
          <w:color w:val="000000"/>
        </w:rPr>
      </w:r>
    </w:p>
    <w:p>
      <w:pPr>
        <w:numPr>
          <w:ilvl w:val="0"/>
          <w:numId w:val="3"/>
        </w:numPr>
        <w:ind w:left="0" w:firstLine="1134"/>
        <w:jc w:val="center"/>
        <w:rPr>
          <w:b/>
          <w:bCs/>
          <w:color w:val="000000"/>
        </w:rPr>
      </w:pPr>
      <w:r>
        <w:rPr>
          <w:b/>
          <w:bCs/>
          <w:color w:val="000000"/>
        </w:rPr>
        <w:t xml:space="preserve">Сроки выполнения работ</w:t>
      </w:r>
      <w:r>
        <w:rPr>
          <w:b/>
          <w:bCs/>
          <w:color w:val="000000"/>
        </w:rPr>
      </w:r>
      <w:r>
        <w:rPr>
          <w:b/>
          <w:bCs/>
          <w:color w:val="000000"/>
        </w:rPr>
      </w:r>
    </w:p>
    <w:p>
      <w:pPr>
        <w:ind w:firstLine="851"/>
        <w:jc w:val="both"/>
        <w:tabs>
          <w:tab w:val="left" w:pos="0" w:leader="none"/>
        </w:tabs>
        <w:rPr>
          <w:color w:val="000000"/>
        </w:rPr>
      </w:pPr>
      <w:r>
        <w:rPr>
          <w:color w:val="000000"/>
        </w:rPr>
        <w:t xml:space="preserve">2.1. Срок начала выполнения работ по Договору - не позднее __________ г.</w:t>
      </w:r>
      <w:r>
        <w:rPr>
          <w:color w:val="000000"/>
        </w:rPr>
      </w:r>
      <w:r>
        <w:rPr>
          <w:color w:val="000000"/>
        </w:rPr>
      </w:r>
    </w:p>
    <w:p>
      <w:pPr>
        <w:ind w:firstLine="851"/>
        <w:jc w:val="both"/>
        <w:tabs>
          <w:tab w:val="left" w:pos="0" w:leader="none"/>
        </w:tabs>
        <w:rPr>
          <w:color w:val="000000"/>
        </w:rPr>
      </w:pPr>
      <w:r>
        <w:rPr>
          <w:color w:val="000000"/>
        </w:rPr>
        <w:t xml:space="preserve">2.2. Срок завершения выполнения </w:t>
      </w:r>
      <w:r>
        <w:rPr>
          <w:color w:val="000000"/>
        </w:rPr>
        <w:t xml:space="preserve">работ  по</w:t>
      </w:r>
      <w:r>
        <w:rPr>
          <w:color w:val="000000"/>
        </w:rPr>
        <w:t xml:space="preserve"> Договору - не позднее __________ г.</w:t>
      </w:r>
      <w:r>
        <w:rPr>
          <w:color w:val="000000"/>
        </w:rPr>
      </w:r>
      <w:r>
        <w:rPr>
          <w:color w:val="000000"/>
        </w:rPr>
      </w:r>
    </w:p>
    <w:p>
      <w:pPr>
        <w:ind w:firstLine="851"/>
        <w:jc w:val="both"/>
        <w:tabs>
          <w:tab w:val="left" w:pos="0" w:leader="none"/>
        </w:tabs>
        <w:rPr>
          <w:color w:val="000000"/>
        </w:rPr>
      </w:pPr>
      <w:r>
        <w:rPr>
          <w:color w:val="000000"/>
        </w:rPr>
        <w:t xml:space="preserve">2.3. </w:t>
      </w:r>
      <w:r>
        <w:t xml:space="preserve">Начальный и конечный срок</w:t>
      </w:r>
      <w:r>
        <w:t xml:space="preserve">и выполнения работ по каждому этапу указываются в Календарном плане (Приложение № 2 к Договору).</w:t>
      </w:r>
      <w:r>
        <w:rPr>
          <w:color w:val="000000"/>
        </w:rPr>
      </w:r>
      <w:r>
        <w:rPr>
          <w:color w:val="000000"/>
        </w:rPr>
      </w:r>
    </w:p>
    <w:p>
      <w:pPr>
        <w:ind w:firstLine="851"/>
        <w:jc w:val="both"/>
        <w:tabs>
          <w:tab w:val="left" w:pos="0" w:leader="none"/>
        </w:tabs>
        <w:rPr>
          <w:color w:val="000000"/>
        </w:rPr>
      </w:pPr>
      <w:r>
        <w:rPr>
          <w:color w:val="000000"/>
        </w:rPr>
        <w:t xml:space="preserve">2.4. Стороны вправе изменить начальный, конечный сроки выполнения работ, </w:t>
      </w:r>
      <w:r>
        <w:rPr>
          <w:color w:val="000000"/>
        </w:rPr>
        <w:br/>
        <w:t xml:space="preserve">а также сроки выполнения работ по этапам, указанные в Календарном плане выполнения </w:t>
      </w:r>
      <w:r>
        <w:rPr>
          <w:color w:val="000000"/>
        </w:rPr>
        <w:t xml:space="preserve">работ, в  следующих случаях:</w:t>
      </w:r>
      <w:r>
        <w:rPr>
          <w:color w:val="000000"/>
        </w:rPr>
      </w:r>
      <w:r>
        <w:rPr>
          <w:color w:val="000000"/>
        </w:rPr>
      </w:r>
    </w:p>
    <w:p>
      <w:pPr>
        <w:ind w:firstLine="851"/>
        <w:jc w:val="both"/>
        <w:tabs>
          <w:tab w:val="left" w:pos="0" w:leader="none"/>
        </w:tabs>
        <w:rPr>
          <w:color w:val="000000"/>
        </w:rPr>
      </w:pPr>
      <w:r>
        <w:rPr>
          <w:color w:val="000000"/>
        </w:rPr>
        <w:t xml:space="preserve">-  сокращения срока выполнения работ;</w:t>
      </w:r>
      <w:r>
        <w:rPr>
          <w:color w:val="000000"/>
        </w:rPr>
      </w:r>
      <w:r>
        <w:rPr>
          <w:color w:val="000000"/>
        </w:rPr>
      </w:r>
    </w:p>
    <w:p>
      <w:pPr>
        <w:ind w:firstLine="851"/>
        <w:jc w:val="both"/>
        <w:tabs>
          <w:tab w:val="left" w:pos="0" w:leader="none"/>
        </w:tabs>
        <w:rPr>
          <w:color w:val="000000"/>
        </w:rPr>
      </w:pPr>
      <w:r>
        <w:rPr>
          <w:color w:val="000000"/>
        </w:rPr>
        <w:t xml:space="preserve">- продление срока выполнения работ, если в ходе их выполнения будет выявлена необходимость в выполнении дополнительных работ, либо работы не могут быть выполнены Подрядчиком в установленные</w:t>
      </w:r>
      <w:r>
        <w:rPr>
          <w:color w:val="000000"/>
        </w:rPr>
        <w:t xml:space="preserve"> сроки по независящим от него причинам.</w:t>
      </w:r>
      <w:r>
        <w:rPr>
          <w:color w:val="000000"/>
        </w:rPr>
      </w:r>
      <w:r>
        <w:rPr>
          <w:color w:val="000000"/>
        </w:rPr>
      </w:r>
    </w:p>
    <w:p>
      <w:pPr>
        <w:ind w:firstLine="851"/>
        <w:jc w:val="both"/>
        <w:tabs>
          <w:tab w:val="left" w:pos="0" w:leader="none"/>
        </w:tabs>
        <w:rPr>
          <w:color w:val="000000"/>
        </w:rPr>
      </w:pPr>
      <w:r>
        <w:rPr>
          <w:color w:val="000000"/>
        </w:rPr>
        <w:t xml:space="preserve">2.5. Изменение начального, конечного сроков выполнения работ и сроков выполнения работ по этапам, указанных в Календарном плане выполнения работ, оформляется сторонами дополнительным соглашением к Договору.</w:t>
      </w:r>
      <w:r>
        <w:rPr>
          <w:color w:val="000000"/>
        </w:rPr>
      </w:r>
      <w:r>
        <w:rPr>
          <w:color w:val="000000"/>
        </w:rPr>
      </w:r>
    </w:p>
    <w:p>
      <w:pPr>
        <w:ind w:firstLine="851"/>
        <w:jc w:val="both"/>
        <w:tabs>
          <w:tab w:val="left" w:pos="0" w:leader="none"/>
        </w:tabs>
        <w:rPr>
          <w:color w:val="000000"/>
        </w:rPr>
      </w:pPr>
      <w:r>
        <w:rPr>
          <w:color w:val="000000"/>
        </w:rPr>
        <w:t xml:space="preserve">2.6. Срок</w:t>
      </w:r>
      <w:r>
        <w:rPr>
          <w:color w:val="000000"/>
        </w:rPr>
        <w:t xml:space="preserve">ом завершения проектных и изыскательских работ подрядчиком </w:t>
      </w:r>
      <w:r>
        <w:rPr>
          <w:color w:val="000000"/>
        </w:rPr>
        <w:br/>
        <w:t xml:space="preserve">по Договору является дата подписания Сторонами акта сдачи-приемки проектных </w:t>
      </w:r>
      <w:r>
        <w:rPr>
          <w:color w:val="000000"/>
        </w:rPr>
        <w:br/>
        <w:t xml:space="preserve">и изыскательских работ в целом.</w:t>
      </w:r>
      <w:r>
        <w:rPr>
          <w:color w:val="000000"/>
        </w:rPr>
      </w:r>
      <w:r>
        <w:rPr>
          <w:color w:val="000000"/>
        </w:rPr>
      </w:r>
    </w:p>
    <w:p>
      <w:pPr>
        <w:ind w:firstLine="851"/>
        <w:jc w:val="both"/>
        <w:tabs>
          <w:tab w:val="left" w:pos="0" w:leader="none"/>
        </w:tabs>
        <w:rPr>
          <w:color w:val="000000"/>
        </w:rPr>
      </w:pPr>
      <w:r>
        <w:rPr>
          <w:color w:val="000000"/>
        </w:rPr>
        <w:t xml:space="preserve">2.7. Сроком завершения строительно-монтажных работ Подрядчиком по Договору является дат</w:t>
      </w:r>
      <w:r>
        <w:rPr>
          <w:color w:val="000000"/>
        </w:rPr>
        <w:t xml:space="preserve">а утверждения Заказчиком </w:t>
      </w:r>
      <w:r>
        <w:rPr>
          <w:i/>
          <w:color w:val="000000"/>
        </w:rPr>
        <w:t xml:space="preserve">акта приемки законченного строительством объекта приемочной комиссией (форма № РС-14) после проведения пусковых испытаний </w:t>
      </w:r>
      <w:r>
        <w:rPr>
          <w:i/>
        </w:rPr>
        <w:t xml:space="preserve">/ акта приёмки-передачи Работ в полном объеме (Приложение №16)</w:t>
      </w:r>
      <w:r>
        <w:rPr>
          <w:rStyle w:val="1763"/>
          <w:i/>
        </w:rPr>
        <w:footnoteReference w:id="5"/>
      </w:r>
      <w:r>
        <w:t xml:space="preserve">.</w:t>
      </w:r>
      <w:r>
        <w:rPr>
          <w:color w:val="000000"/>
        </w:rPr>
      </w:r>
      <w:r>
        <w:rPr>
          <w:color w:val="000000"/>
        </w:rPr>
      </w:r>
    </w:p>
    <w:p>
      <w:pPr>
        <w:ind w:firstLine="851"/>
        <w:jc w:val="both"/>
        <w:tabs>
          <w:tab w:val="left" w:pos="0" w:leader="none"/>
        </w:tabs>
        <w:rPr>
          <w:color w:val="000000"/>
        </w:rPr>
      </w:pPr>
      <w:r>
        <w:rPr>
          <w:color w:val="000000"/>
        </w:rPr>
      </w:r>
      <w:r>
        <w:rPr>
          <w:color w:val="000000"/>
        </w:rPr>
      </w:r>
      <w:r>
        <w:rPr>
          <w:color w:val="000000"/>
        </w:rPr>
      </w:r>
    </w:p>
    <w:p>
      <w:pPr>
        <w:pStyle w:val="1774"/>
        <w:numPr>
          <w:ilvl w:val="0"/>
          <w:numId w:val="4"/>
        </w:numPr>
        <w:ind w:left="0" w:right="0"/>
        <w:jc w:val="center"/>
        <w:widowControl/>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Стоимость работ и порядок расчетов</w:t>
      </w:r>
      <w:r>
        <w:rPr>
          <w:rFonts w:ascii="Times New Roman" w:hAnsi="Times New Roman" w:cs="Times New Roman"/>
          <w:b/>
          <w:color w:val="000000"/>
          <w:sz w:val="24"/>
          <w:szCs w:val="24"/>
        </w:rPr>
      </w:r>
      <w:r>
        <w:rPr>
          <w:rFonts w:ascii="Times New Roman" w:hAnsi="Times New Roman" w:cs="Times New Roman"/>
          <w:b/>
          <w:color w:val="000000"/>
          <w:sz w:val="24"/>
          <w:szCs w:val="24"/>
        </w:rPr>
      </w:r>
    </w:p>
    <w:p>
      <w:pPr>
        <w:pStyle w:val="1761"/>
        <w:numPr>
          <w:ilvl w:val="1"/>
          <w:numId w:val="4"/>
        </w:numPr>
        <w:ind w:left="0" w:firstLine="709"/>
        <w:jc w:val="both"/>
        <w:spacing w:after="0" w:line="240" w:lineRule="auto"/>
        <w:widowControl w:val="off"/>
        <w:rPr>
          <w:rFonts w:ascii="Times New Roman" w:hAnsi="Times New Roman"/>
          <w:sz w:val="24"/>
          <w:szCs w:val="24"/>
          <w:highlight w:val="yellow"/>
          <w14:ligatures w14:val="none"/>
        </w:rPr>
      </w:pPr>
      <w:r>
        <w:rPr>
          <w:rFonts w:ascii="Times New Roman" w:hAnsi="Times New Roman"/>
          <w:sz w:val="24"/>
          <w:szCs w:val="24"/>
          <w:highlight w:val="yellow"/>
        </w:rPr>
        <w:t xml:space="preserve">Цена Договора формируется на основании Протокола о результатах закупочной процедуры на право заключения договора подряда, не является твердой, является предельной и </w:t>
      </w:r>
      <w:r>
        <w:rPr>
          <w:rFonts w:ascii="Times New Roman" w:hAnsi="Times New Roman"/>
          <w:sz w:val="24"/>
          <w:szCs w:val="24"/>
          <w:highlight w:val="yellow"/>
        </w:rPr>
        <w:t xml:space="preserve">составляет ______________________________руб. ____________________________________), </w:t>
      </w:r>
      <w:r>
        <w:rPr>
          <w:rFonts w:ascii="Times New Roman" w:hAnsi="Times New Roman"/>
          <w:sz w:val="24"/>
          <w:szCs w:val="24"/>
          <w:highlight w:val="yellow"/>
        </w:rPr>
        <w:t xml:space="preserve">кроме того</w:t>
      </w:r>
      <w:r>
        <w:rPr>
          <w:rFonts w:ascii="Times New Roman" w:hAnsi="Times New Roman"/>
          <w:sz w:val="24"/>
          <w:szCs w:val="24"/>
          <w:highlight w:val="yellow"/>
        </w:rPr>
        <w:t xml:space="preserve"> НДС </w:t>
      </w:r>
      <w:r>
        <w:rPr>
          <w:rFonts w:ascii="Times New Roman" w:hAnsi="Times New Roman"/>
          <w:sz w:val="24"/>
          <w:szCs w:val="24"/>
          <w:highlight w:val="yellow"/>
        </w:rPr>
        <w:t xml:space="preserve">___</w:t>
      </w:r>
      <w:r>
        <w:rPr>
          <w:rFonts w:ascii="Times New Roman" w:hAnsi="Times New Roman"/>
          <w:sz w:val="24"/>
          <w:szCs w:val="24"/>
          <w:highlight w:val="yellow"/>
        </w:rPr>
        <w:t xml:space="preserve">% </w:t>
      </w:r>
      <w:r>
        <w:rPr>
          <w:rFonts w:ascii="Times New Roman" w:hAnsi="Times New Roman"/>
          <w:sz w:val="24"/>
          <w:szCs w:val="24"/>
          <w:highlight w:val="yellow"/>
        </w:rPr>
        <w:t xml:space="preserve">________________руб. (____________________), итого с учетом НДС составляет ______________руб. (____________________).</w:t>
      </w:r>
      <w:r>
        <w:rPr>
          <w:rFonts w:ascii="Times New Roman" w:hAnsi="Times New Roman"/>
          <w:sz w:val="24"/>
          <w:szCs w:val="24"/>
          <w:highlight w:val="yellow"/>
          <w14:ligatures w14:val="none"/>
        </w:rPr>
      </w:r>
      <w:r>
        <w:rPr>
          <w:rFonts w:ascii="Times New Roman" w:hAnsi="Times New Roman"/>
          <w:sz w:val="24"/>
          <w:szCs w:val="24"/>
          <w:highlight w:val="yellow"/>
          <w14:ligatures w14:val="none"/>
        </w:rPr>
      </w:r>
    </w:p>
    <w:p>
      <w:pPr>
        <w:ind w:firstLine="709"/>
        <w:jc w:val="both"/>
        <w:widowControl w:val="off"/>
      </w:pPr>
      <w:r>
        <w:t xml:space="preserve">Указанная в первом абзаце настоящего пункта предельная цена может быт</w:t>
      </w:r>
      <w:r>
        <w:t xml:space="preserve">ь изменена по требованию Заказчика по итогам разработки Подрядчиком и согласования Заказчиком Проектно-сметной документации только в сторону уменьшения. Решение Заказчика </w:t>
      </w:r>
      <w:r>
        <w:br/>
        <w:t xml:space="preserve">об уменьшении предела цены Договора доводится до Подрядчика путем письменного уведом</w:t>
      </w:r>
      <w:r>
        <w:t xml:space="preserve">ления Заказчиком Подрядчика с последующим подписанием дополнительного соглашения. При необоснованном отказе Подрядчика от подписания данного дополнительного соглашения цена Договора считается измененной в одностороннем порядке с момента направления письмен</w:t>
      </w:r>
      <w:r>
        <w:t xml:space="preserve">ного уведомления Заказчика.</w:t>
      </w:r>
      <w:r/>
    </w:p>
    <w:p>
      <w:pPr>
        <w:pStyle w:val="1761"/>
        <w:numPr>
          <w:ilvl w:val="1"/>
          <w:numId w:val="4"/>
        </w:numPr>
        <w:ind w:left="0" w:firstLine="851"/>
        <w:jc w:val="both"/>
        <w:spacing w:after="0" w:line="240" w:lineRule="auto"/>
        <w:widowControl w:val="off"/>
        <w:rPr>
          <w:rFonts w:ascii="Times New Roman" w:hAnsi="Times New Roman"/>
          <w:sz w:val="24"/>
          <w:szCs w:val="24"/>
        </w:rPr>
      </w:pPr>
      <w:r>
        <w:rPr>
          <w:rFonts w:ascii="Times New Roman" w:hAnsi="Times New Roman"/>
          <w:iCs/>
          <w:color w:val="000000"/>
          <w:sz w:val="24"/>
          <w:szCs w:val="24"/>
        </w:rPr>
        <w:t xml:space="preserve">Расходы, связанные с получением необходимых допусков, разрешений, согласований, приобретением материалов и оборудования, связанных с выполнением работ, включены в цену Договора и дополнительной оплате не подлежат. В случае превы</w:t>
      </w:r>
      <w:r>
        <w:rPr>
          <w:rFonts w:ascii="Times New Roman" w:hAnsi="Times New Roman"/>
          <w:iCs/>
          <w:color w:val="000000"/>
          <w:sz w:val="24"/>
          <w:szCs w:val="24"/>
        </w:rPr>
        <w:t xml:space="preserve">шения фактических расходов Подрядчика по выполнению работ над ценой Договора, Подрядчик погашает разницу за счет собственных средств.</w:t>
      </w:r>
      <w:r>
        <w:rPr>
          <w:rFonts w:ascii="Times New Roman" w:hAnsi="Times New Roman"/>
          <w:sz w:val="24"/>
          <w:szCs w:val="24"/>
        </w:rPr>
      </w:r>
      <w:r>
        <w:rPr>
          <w:rFonts w:ascii="Times New Roman" w:hAnsi="Times New Roman"/>
          <w:sz w:val="24"/>
          <w:szCs w:val="24"/>
        </w:rPr>
      </w:r>
    </w:p>
    <w:p>
      <w:pPr>
        <w:pStyle w:val="1761"/>
        <w:ind w:left="360"/>
        <w:jc w:val="both"/>
        <w:shd w:val="clear" w:color="auto" w:fill="ffffff"/>
        <w:widowControl w:val="off"/>
        <w:tabs>
          <w:tab w:val="left" w:pos="709" w:leader="none"/>
        </w:tabs>
      </w:pPr>
      <w:r/>
      <w:r/>
    </w:p>
    <w:p>
      <w:pPr>
        <w:pStyle w:val="1761"/>
        <w:ind w:left="360"/>
        <w:jc w:val="both"/>
        <w:shd w:val="clear" w:color="auto" w:fill="ffffff"/>
        <w:widowControl w:val="off"/>
        <w:tabs>
          <w:tab w:val="left" w:pos="709" w:leader="none"/>
        </w:tabs>
        <w:rPr>
          <w:rFonts w:ascii="Times New Roman" w:hAnsi="Times New Roman"/>
          <w:highlight w:val="white"/>
        </w:rPr>
      </w:pPr>
      <w:r>
        <w:rPr>
          <w:rFonts w:ascii="Times New Roman" w:hAnsi="Times New Roman"/>
          <w:highlight w:val="white"/>
        </w:rPr>
        <w:t xml:space="preserve">(Вариант 1)</w:t>
      </w:r>
      <w:r>
        <w:rPr>
          <w:rStyle w:val="1763"/>
          <w:rFonts w:ascii="Times New Roman" w:hAnsi="Times New Roman"/>
          <w:sz w:val="24"/>
          <w:szCs w:val="24"/>
          <w:highlight w:val="white"/>
        </w:rPr>
        <w:footnoteReference w:id="6"/>
      </w:r>
      <w:r>
        <w:rPr>
          <w:rFonts w:ascii="Times New Roman" w:hAnsi="Times New Roman"/>
          <w:highlight w:val="white"/>
        </w:rPr>
      </w:r>
      <w:r>
        <w:rPr>
          <w:rFonts w:ascii="Times New Roman" w:hAnsi="Times New Roman"/>
          <w:highlight w:val="white"/>
        </w:rPr>
      </w:r>
    </w:p>
    <w:p>
      <w:pPr>
        <w:pStyle w:val="1761"/>
        <w:numPr>
          <w:ilvl w:val="1"/>
          <w:numId w:val="4"/>
        </w:numPr>
        <w:ind w:left="0" w:firstLine="851"/>
        <w:jc w:val="both"/>
        <w:spacing w:after="0" w:line="240" w:lineRule="auto"/>
        <w:rPr>
          <w:rFonts w:ascii="Times New Roman" w:hAnsi="Times New Roman"/>
          <w:color w:val="000000"/>
          <w:sz w:val="24"/>
          <w:szCs w:val="24"/>
          <w:highlight w:val="white"/>
        </w:rPr>
      </w:pPr>
      <w:r>
        <w:rPr>
          <w:rFonts w:ascii="Times New Roman" w:hAnsi="Times New Roman"/>
          <w:color w:val="000000"/>
          <w:sz w:val="24"/>
          <w:szCs w:val="24"/>
          <w:highlight w:val="white"/>
        </w:rPr>
        <w:t xml:space="preserve">Расчеты за фактически выполненные и принятые работы (в том числе </w:t>
      </w:r>
      <w:r>
        <w:rPr>
          <w:rFonts w:ascii="Times New Roman" w:hAnsi="Times New Roman"/>
          <w:color w:val="000000"/>
          <w:sz w:val="24"/>
          <w:szCs w:val="24"/>
          <w:highlight w:val="white"/>
        </w:rPr>
        <w:br/>
        <w:t xml:space="preserve">по этапу) производятся Заказчиком: </w:t>
      </w:r>
      <w:r>
        <w:rPr>
          <w:rFonts w:ascii="Times New Roman" w:hAnsi="Times New Roman"/>
          <w:color w:val="000000"/>
          <w:sz w:val="24"/>
          <w:szCs w:val="24"/>
          <w:highlight w:val="white"/>
        </w:rPr>
      </w:r>
      <w:r>
        <w:rPr>
          <w:rFonts w:ascii="Times New Roman" w:hAnsi="Times New Roman"/>
          <w:color w:val="000000"/>
          <w:sz w:val="24"/>
          <w:szCs w:val="24"/>
          <w:highlight w:val="white"/>
        </w:rPr>
      </w:r>
    </w:p>
    <w:p>
      <w:pPr>
        <w:ind w:firstLine="851"/>
        <w:jc w:val="both"/>
        <w:rPr>
          <w:color w:val="000000"/>
          <w:highlight w:val="white"/>
        </w:rPr>
      </w:pPr>
      <w:r>
        <w:rPr>
          <w:color w:val="000000"/>
          <w:highlight w:val="white"/>
        </w:rPr>
        <w:t xml:space="preserve">а) по проектным и изыскательским работам:</w:t>
      </w:r>
      <w:r>
        <w:rPr>
          <w:color w:val="000000"/>
          <w:highlight w:val="white"/>
        </w:rPr>
      </w:r>
      <w:r>
        <w:rPr>
          <w:color w:val="000000"/>
          <w:highlight w:val="white"/>
        </w:rPr>
      </w:r>
    </w:p>
    <w:p>
      <w:pPr>
        <w:ind w:firstLine="851"/>
        <w:jc w:val="both"/>
        <w:rPr>
          <w:color w:val="000000"/>
          <w:highlight w:val="white"/>
        </w:rPr>
      </w:pPr>
      <w:r>
        <w:rPr>
          <w:color w:val="000000"/>
          <w:highlight w:val="white"/>
        </w:rPr>
        <w:t xml:space="preserve">Расчеты за фактически выполненные и принятые работы (в том числе по этапам) </w:t>
      </w:r>
      <w:r>
        <w:rPr>
          <w:color w:val="000000"/>
          <w:highlight w:val="white"/>
        </w:rPr>
        <w:br/>
      </w:r>
      <w:r>
        <w:rPr>
          <w:highlight w:val="white"/>
        </w:rPr>
        <w:t xml:space="preserve">не позднее 7 (семи) рабочих дней </w:t>
      </w:r>
      <w:r>
        <w:rPr>
          <w:color w:val="000000"/>
          <w:highlight w:val="white"/>
        </w:rPr>
        <w:t xml:space="preserve">с момента подписания Сторонами акта </w:t>
      </w:r>
      <w:r>
        <w:rPr>
          <w:color w:val="000000"/>
          <w:highlight w:val="white"/>
        </w:rPr>
        <w:br/>
        <w:t xml:space="preserve">о приемке выполненных проектных и изыскательских работ, Акта прочих затрат и предоставл</w:t>
      </w:r>
      <w:r>
        <w:rPr>
          <w:color w:val="000000"/>
          <w:highlight w:val="white"/>
        </w:rPr>
        <w:t xml:space="preserve">ения Заказчику счета-фактуры;</w:t>
      </w:r>
      <w:r>
        <w:rPr>
          <w:color w:val="000000"/>
          <w:highlight w:val="white"/>
        </w:rPr>
      </w:r>
      <w:r>
        <w:rPr>
          <w:color w:val="000000"/>
          <w:highlight w:val="white"/>
        </w:rPr>
      </w:r>
    </w:p>
    <w:p>
      <w:pPr>
        <w:ind w:firstLine="851"/>
        <w:jc w:val="both"/>
        <w:rPr>
          <w:color w:val="000000"/>
          <w:highlight w:val="white"/>
        </w:rPr>
      </w:pPr>
      <w:r>
        <w:rPr>
          <w:color w:val="000000"/>
          <w:highlight w:val="white"/>
        </w:rPr>
        <w:t xml:space="preserve">б) по строительно-монтажным работам:</w:t>
      </w:r>
      <w:r>
        <w:rPr>
          <w:color w:val="000000"/>
          <w:highlight w:val="white"/>
        </w:rPr>
      </w:r>
      <w:r>
        <w:rPr>
          <w:color w:val="000000"/>
          <w:highlight w:val="white"/>
        </w:rPr>
      </w:r>
    </w:p>
    <w:p>
      <w:pPr>
        <w:ind w:firstLine="567"/>
        <w:jc w:val="both"/>
        <w:widowControl w:val="off"/>
        <w:rPr>
          <w:highlight w:val="white"/>
        </w:rPr>
      </w:pPr>
      <w:r>
        <w:rPr>
          <w:highlight w:val="white"/>
        </w:rPr>
        <w:t xml:space="preserve">Расчеты за фактически выполненные и принятые работы (в том числе по этапам) осуществляются на основании актов о приемке выполненных работ (КС-2), Справок </w:t>
      </w:r>
      <w:r>
        <w:rPr>
          <w:highlight w:val="white"/>
        </w:rPr>
        <w:br/>
        <w:t xml:space="preserve">о стоимости выполненных работ и за</w:t>
      </w:r>
      <w:r>
        <w:rPr>
          <w:highlight w:val="white"/>
        </w:rPr>
        <w:t xml:space="preserve">трат (КС-3), сформированных на основании Локальных смет, </w:t>
      </w:r>
      <w:r>
        <w:rPr>
          <w:color w:val="000000"/>
          <w:highlight w:val="white"/>
        </w:rPr>
        <w:t xml:space="preserve">Актов прочих затрат, </w:t>
      </w:r>
      <w:r>
        <w:rPr>
          <w:highlight w:val="white"/>
        </w:rPr>
        <w:t xml:space="preserve">утвержденных Заказчиком в составе Сводного сметного расчета стоимости строительства, в пределах цены договора.</w:t>
      </w:r>
      <w:r>
        <w:rPr>
          <w:highlight w:val="white"/>
        </w:rPr>
      </w:r>
      <w:r>
        <w:rPr>
          <w:highlight w:val="white"/>
        </w:rPr>
      </w:r>
    </w:p>
    <w:p>
      <w:pPr>
        <w:ind w:firstLine="567"/>
        <w:jc w:val="both"/>
        <w:widowControl w:val="off"/>
        <w:rPr>
          <w:highlight w:val="white"/>
        </w:rPr>
      </w:pPr>
      <w:r>
        <w:rPr>
          <w:highlight w:val="white"/>
        </w:rPr>
        <w:t xml:space="preserve">Расчеты за фактически выполненные и принятые работы производятся Заказчиком при сдаче работ по отдельному этапу не позднее 7 (семи) рабочих дней с м</w:t>
      </w:r>
      <w:r>
        <w:rPr>
          <w:highlight w:val="white"/>
        </w:rPr>
        <w:t xml:space="preserve">омента подписания Сторонами акта о приемке выполненных работ и справок о стоимости выполненных работ и затрат по соответствующему этапу, Актов прочих затрат и предоставления Заказчику счета и счет-фактуры. </w:t>
      </w:r>
      <w:r>
        <w:rPr>
          <w:highlight w:val="white"/>
        </w:rPr>
      </w:r>
      <w:r>
        <w:rPr>
          <w:highlight w:val="white"/>
        </w:rPr>
      </w:r>
    </w:p>
    <w:p>
      <w:pPr>
        <w:ind w:firstLine="567"/>
        <w:jc w:val="both"/>
        <w:widowControl w:val="off"/>
        <w:rPr>
          <w:highlight w:val="white"/>
        </w:rPr>
      </w:pPr>
      <w:r>
        <w:rPr>
          <w:highlight w:val="white"/>
        </w:rPr>
      </w:r>
      <w:r>
        <w:rPr>
          <w:highlight w:val="white"/>
        </w:rPr>
      </w:r>
      <w:r>
        <w:rPr>
          <w:highlight w:val="white"/>
        </w:rPr>
      </w:r>
    </w:p>
    <w:p>
      <w:pPr>
        <w:ind w:firstLine="709"/>
        <w:jc w:val="both"/>
        <w:tabs>
          <w:tab w:val="num" w:pos="0" w:leader="none"/>
        </w:tabs>
        <w:rPr>
          <w:iCs/>
          <w:highlight w:val="white"/>
        </w:rPr>
      </w:pPr>
      <w:r>
        <w:rPr>
          <w:iCs/>
          <w:highlight w:val="white"/>
        </w:rPr>
        <w:t xml:space="preserve">(Вариант 2)</w:t>
      </w:r>
      <w:r>
        <w:rPr>
          <w:rStyle w:val="1763"/>
          <w:iCs/>
          <w:highlight w:val="white"/>
        </w:rPr>
        <w:footnoteReference w:id="7"/>
      </w:r>
      <w:r>
        <w:rPr>
          <w:iCs/>
          <w:highlight w:val="white"/>
        </w:rPr>
      </w:r>
      <w:r>
        <w:rPr>
          <w:iCs/>
          <w:highlight w:val="white"/>
        </w:rPr>
      </w:r>
    </w:p>
    <w:p>
      <w:pPr>
        <w:pStyle w:val="1761"/>
        <w:numPr>
          <w:ilvl w:val="1"/>
          <w:numId w:val="32"/>
        </w:numPr>
        <w:ind w:left="0" w:firstLine="851"/>
        <w:jc w:val="both"/>
        <w:spacing w:after="0" w:line="240" w:lineRule="auto"/>
        <w:rPr>
          <w:rFonts w:ascii="Times New Roman" w:hAnsi="Times New Roman"/>
          <w:color w:val="000000"/>
          <w:sz w:val="24"/>
          <w:szCs w:val="24"/>
          <w:highlight w:val="white"/>
        </w:rPr>
      </w:pPr>
      <w:r>
        <w:rPr>
          <w:rFonts w:ascii="Times New Roman" w:hAnsi="Times New Roman"/>
          <w:color w:val="000000"/>
          <w:sz w:val="24"/>
          <w:szCs w:val="24"/>
          <w:highlight w:val="white"/>
        </w:rPr>
        <w:t xml:space="preserve">Расчеты за фактически выполненные и принятые работы (в том числе </w:t>
      </w:r>
      <w:r>
        <w:rPr>
          <w:rFonts w:ascii="Times New Roman" w:hAnsi="Times New Roman"/>
          <w:color w:val="000000"/>
          <w:sz w:val="24"/>
          <w:szCs w:val="24"/>
          <w:highlight w:val="white"/>
        </w:rPr>
        <w:br/>
        <w:t xml:space="preserve">по этапу) производятся Заказчиком: </w:t>
      </w:r>
      <w:r>
        <w:rPr>
          <w:rFonts w:ascii="Times New Roman" w:hAnsi="Times New Roman"/>
          <w:color w:val="000000"/>
          <w:sz w:val="24"/>
          <w:szCs w:val="24"/>
          <w:highlight w:val="white"/>
        </w:rPr>
      </w:r>
      <w:r>
        <w:rPr>
          <w:rFonts w:ascii="Times New Roman" w:hAnsi="Times New Roman"/>
          <w:color w:val="000000"/>
          <w:sz w:val="24"/>
          <w:szCs w:val="24"/>
          <w:highlight w:val="white"/>
        </w:rPr>
      </w:r>
    </w:p>
    <w:p>
      <w:pPr>
        <w:ind w:firstLine="851"/>
        <w:jc w:val="both"/>
        <w:rPr>
          <w:color w:val="000000"/>
          <w:highlight w:val="white"/>
        </w:rPr>
      </w:pPr>
      <w:r>
        <w:rPr>
          <w:color w:val="000000"/>
          <w:highlight w:val="white"/>
        </w:rPr>
        <w:t xml:space="preserve">а) по проектным и изыскательским работам:</w:t>
      </w:r>
      <w:r>
        <w:rPr>
          <w:color w:val="000000"/>
          <w:highlight w:val="white"/>
        </w:rPr>
      </w:r>
      <w:r>
        <w:rPr>
          <w:color w:val="000000"/>
          <w:highlight w:val="white"/>
        </w:rPr>
      </w:r>
    </w:p>
    <w:p>
      <w:pPr>
        <w:ind w:firstLine="851"/>
        <w:jc w:val="both"/>
        <w:rPr>
          <w:color w:val="000000"/>
          <w:highlight w:val="white"/>
        </w:rPr>
      </w:pPr>
      <w:r>
        <w:rPr>
          <w:color w:val="000000"/>
          <w:highlight w:val="white"/>
        </w:rPr>
        <w:t xml:space="preserve">Расчеты за фактически выполненные и принятые работы (в том числе по этапам) </w:t>
      </w:r>
      <w:r>
        <w:rPr>
          <w:color w:val="000000"/>
          <w:highlight w:val="white"/>
        </w:rPr>
        <w:br/>
      </w:r>
      <w:r>
        <w:rPr>
          <w:highlight w:val="white"/>
        </w:rPr>
        <w:t xml:space="preserve">не позднее 30 (тридцати) рабочих дн</w:t>
      </w:r>
      <w:r>
        <w:rPr>
          <w:highlight w:val="white"/>
        </w:rPr>
        <w:t xml:space="preserve">ей </w:t>
      </w:r>
      <w:r>
        <w:rPr>
          <w:color w:val="000000"/>
          <w:highlight w:val="white"/>
        </w:rPr>
        <w:t xml:space="preserve">с момента подписания Сторонами акта </w:t>
      </w:r>
      <w:r>
        <w:rPr>
          <w:color w:val="000000"/>
          <w:highlight w:val="white"/>
        </w:rPr>
        <w:br/>
        <w:t xml:space="preserve">о приемке выполненных проектных и изыскательских работ, </w:t>
      </w:r>
      <w:r>
        <w:rPr>
          <w:color w:val="000000"/>
          <w:highlight w:val="white"/>
        </w:rPr>
        <w:t xml:space="preserve">Акта прочих затрат</w:t>
      </w:r>
      <w:r>
        <w:rPr>
          <w:color w:val="000000"/>
          <w:highlight w:val="white"/>
        </w:rPr>
        <w:t xml:space="preserve"> и предоставления Заказчику счета-фактуры;</w:t>
      </w:r>
      <w:r>
        <w:rPr>
          <w:color w:val="000000"/>
          <w:highlight w:val="white"/>
        </w:rPr>
      </w:r>
      <w:r>
        <w:rPr>
          <w:color w:val="000000"/>
          <w:highlight w:val="white"/>
        </w:rPr>
      </w:r>
    </w:p>
    <w:p>
      <w:pPr>
        <w:ind w:firstLine="851"/>
        <w:jc w:val="both"/>
        <w:rPr>
          <w:color w:val="000000"/>
          <w:highlight w:val="white"/>
        </w:rPr>
      </w:pPr>
      <w:r>
        <w:rPr>
          <w:color w:val="000000"/>
          <w:highlight w:val="white"/>
        </w:rPr>
        <w:t xml:space="preserve">б) по строительно-монтажным работам:</w:t>
      </w:r>
      <w:r>
        <w:rPr>
          <w:color w:val="000000"/>
          <w:highlight w:val="white"/>
        </w:rPr>
      </w:r>
      <w:r>
        <w:rPr>
          <w:color w:val="000000"/>
          <w:highlight w:val="white"/>
        </w:rPr>
      </w:r>
    </w:p>
    <w:p>
      <w:pPr>
        <w:ind w:firstLine="567"/>
        <w:jc w:val="both"/>
        <w:widowControl w:val="off"/>
        <w:rPr>
          <w:highlight w:val="white"/>
        </w:rPr>
      </w:pPr>
      <w:r>
        <w:rPr>
          <w:highlight w:val="white"/>
        </w:rPr>
        <w:t xml:space="preserve">Расчеты за фактически выполненные и принятые работы (в том числе по этапам) осущес</w:t>
      </w:r>
      <w:r>
        <w:rPr>
          <w:highlight w:val="white"/>
        </w:rPr>
        <w:t xml:space="preserve">твляются на основании актов о приемке выполненных работ (КС-2), Справок </w:t>
      </w:r>
      <w:r>
        <w:rPr>
          <w:highlight w:val="white"/>
        </w:rPr>
        <w:br/>
        <w:t xml:space="preserve">о стоимости выполненных работ и затрат (КС-3), сформированных на основании Локальных смет, </w:t>
      </w:r>
      <w:r>
        <w:rPr>
          <w:color w:val="000000"/>
          <w:highlight w:val="white"/>
        </w:rPr>
        <w:t xml:space="preserve">Актов прочих затрат, </w:t>
      </w:r>
      <w:r>
        <w:rPr>
          <w:highlight w:val="white"/>
        </w:rPr>
        <w:t xml:space="preserve">утвержденных Заказчиком в составе Сводного сметного расчета </w:t>
      </w:r>
      <w:r>
        <w:rPr>
          <w:highlight w:val="white"/>
        </w:rPr>
        <w:t xml:space="preserve">стоимости строительства</w:t>
      </w:r>
      <w:r>
        <w:rPr>
          <w:highlight w:val="white"/>
        </w:rPr>
        <w:t xml:space="preserve">, в пределах цены договора.</w:t>
      </w:r>
      <w:r>
        <w:rPr>
          <w:highlight w:val="white"/>
        </w:rPr>
      </w:r>
      <w:r>
        <w:rPr>
          <w:highlight w:val="white"/>
        </w:rPr>
      </w:r>
    </w:p>
    <w:p>
      <w:pPr>
        <w:ind w:firstLine="567"/>
        <w:jc w:val="both"/>
        <w:widowControl w:val="off"/>
        <w:rPr>
          <w:highlight w:val="white"/>
        </w:rPr>
      </w:pPr>
      <w:r>
        <w:rPr>
          <w:highlight w:val="white"/>
        </w:rPr>
        <w:t xml:space="preserve">Расчеты за фактически выполненные и приня</w:t>
      </w:r>
      <w:r>
        <w:rPr>
          <w:highlight w:val="white"/>
        </w:rPr>
        <w:t xml:space="preserve">тые работы производят</w:t>
      </w:r>
      <w:r>
        <w:rPr>
          <w:highlight w:val="white"/>
        </w:rPr>
        <w:t xml:space="preserve">ся Заказчиком при сдаче работ по отдельному этапу не позднее 30 (тридцати) рабочих дней с момента подписания Сторонами акта о приемке выполненных работ и справок о стоимости выполненных работ и затрат по соответствующему этапу, Актов прочих затрат и предос</w:t>
      </w:r>
      <w:r>
        <w:rPr>
          <w:highlight w:val="white"/>
        </w:rPr>
        <w:t xml:space="preserve">тавления Заказчику счета и счет-фактуры.</w:t>
      </w:r>
      <w:r>
        <w:rPr>
          <w:highlight w:val="white"/>
        </w:rPr>
      </w:r>
      <w:r>
        <w:rPr>
          <w:highlight w:val="white"/>
        </w:rPr>
      </w:r>
    </w:p>
    <w:p>
      <w:pPr>
        <w:ind w:firstLine="567"/>
        <w:jc w:val="both"/>
        <w:widowControl w:val="off"/>
        <w:rPr>
          <w:highlight w:val="white"/>
        </w:rPr>
      </w:pPr>
      <w:r>
        <w:rPr>
          <w:highlight w:val="white"/>
        </w:rPr>
      </w:r>
      <w:r>
        <w:rPr>
          <w:highlight w:val="white"/>
        </w:rPr>
      </w:r>
      <w:r>
        <w:rPr>
          <w:highlight w:val="white"/>
        </w:rPr>
      </w:r>
    </w:p>
    <w:p>
      <w:pPr>
        <w:ind w:firstLine="851"/>
        <w:jc w:val="both"/>
        <w:widowControl w:val="off"/>
        <w:rPr>
          <w:highlight w:val="white"/>
        </w:rPr>
      </w:pPr>
      <w:r>
        <w:rPr>
          <w:highlight w:val="white"/>
        </w:rPr>
        <w:t xml:space="preserve">3.3.1</w:t>
      </w:r>
      <w:r>
        <w:rPr>
          <w:highlight w:val="white"/>
        </w:rPr>
        <w:t xml:space="preserve">. </w:t>
      </w:r>
      <w:r>
        <w:rPr>
          <w:highlight w:val="white"/>
          <w:lang w:eastAsia="ar-SA"/>
        </w:rPr>
        <w:t xml:space="preserve">Расчеты за фактически выполненные и принятые Работы по отдельному этапу, в том числе компенсация прочих затрат, производятся Заказчиком за вычетом суммы гарантийного депозита, применяемого в соответствии с Приложением №17</w:t>
      </w:r>
      <w:r>
        <w:rPr>
          <w:highlight w:val="white"/>
          <w:vertAlign w:val="superscript"/>
          <w:lang w:eastAsia="ar-SA"/>
        </w:rPr>
        <w:footnoteReference w:id="8"/>
      </w:r>
      <w:r>
        <w:rPr>
          <w:highlight w:val="white"/>
          <w:lang w:eastAsia="ar-SA"/>
        </w:rPr>
        <w:t xml:space="preserve">.</w:t>
      </w:r>
      <w:r>
        <w:rPr>
          <w:highlight w:val="white"/>
        </w:rPr>
      </w:r>
      <w:r>
        <w:rPr>
          <w:highlight w:val="white"/>
        </w:rPr>
      </w:r>
    </w:p>
    <w:p>
      <w:pPr>
        <w:pStyle w:val="1761"/>
        <w:numPr>
          <w:ilvl w:val="1"/>
          <w:numId w:val="32"/>
        </w:numPr>
        <w:ind w:left="0" w:firstLine="851"/>
        <w:jc w:val="both"/>
        <w:spacing w:after="0" w:line="240" w:lineRule="auto"/>
        <w:tabs>
          <w:tab w:val="left" w:pos="1080" w:leader="none"/>
        </w:tabs>
        <w:rPr>
          <w:rFonts w:ascii="Times New Roman" w:hAnsi="Times New Roman"/>
          <w:color w:val="000000"/>
          <w:sz w:val="24"/>
          <w:szCs w:val="24"/>
        </w:rPr>
      </w:pPr>
      <w:r>
        <w:rPr>
          <w:rFonts w:ascii="Times New Roman" w:hAnsi="Times New Roman"/>
          <w:color w:val="000000"/>
          <w:sz w:val="24"/>
          <w:szCs w:val="24"/>
        </w:rPr>
        <w:t xml:space="preserve">Оплата выполненных Подрядчиком работ производится за вычетом стоимости возвратных материалов, остающихся в распоряжении Подрядчика.</w:t>
      </w:r>
      <w:r>
        <w:rPr>
          <w:rFonts w:ascii="Times New Roman" w:hAnsi="Times New Roman"/>
          <w:color w:val="000000"/>
          <w:sz w:val="24"/>
          <w:szCs w:val="24"/>
        </w:rPr>
      </w:r>
      <w:r>
        <w:rPr>
          <w:rFonts w:ascii="Times New Roman" w:hAnsi="Times New Roman"/>
          <w:color w:val="000000"/>
          <w:sz w:val="24"/>
          <w:szCs w:val="24"/>
        </w:rPr>
      </w:r>
    </w:p>
    <w:p>
      <w:pPr>
        <w:pStyle w:val="1761"/>
        <w:numPr>
          <w:ilvl w:val="1"/>
          <w:numId w:val="32"/>
        </w:numPr>
        <w:ind w:left="0" w:firstLine="851"/>
        <w:jc w:val="both"/>
        <w:spacing w:after="0" w:line="240" w:lineRule="auto"/>
        <w:tabs>
          <w:tab w:val="left" w:pos="0" w:leader="none"/>
        </w:tabs>
        <w:rPr>
          <w:rFonts w:ascii="Times New Roman" w:hAnsi="Times New Roman"/>
          <w:color w:val="000000"/>
          <w:sz w:val="24"/>
          <w:szCs w:val="24"/>
        </w:rPr>
      </w:pPr>
      <w:r>
        <w:rPr>
          <w:rFonts w:ascii="Times New Roman" w:hAnsi="Times New Roman"/>
          <w:color w:val="000000"/>
          <w:sz w:val="24"/>
          <w:szCs w:val="24"/>
        </w:rPr>
        <w:t xml:space="preserve">Обязательства Заказчика по оплате считаются исполненными в момент списания денежных средств с расчетного счета Заказчика.</w:t>
      </w:r>
      <w:r>
        <w:rPr>
          <w:rFonts w:ascii="Times New Roman" w:hAnsi="Times New Roman"/>
          <w:color w:val="000000"/>
          <w:sz w:val="24"/>
          <w:szCs w:val="24"/>
        </w:rPr>
      </w:r>
      <w:r>
        <w:rPr>
          <w:rFonts w:ascii="Times New Roman" w:hAnsi="Times New Roman"/>
          <w:color w:val="000000"/>
          <w:sz w:val="24"/>
          <w:szCs w:val="24"/>
        </w:rPr>
      </w:r>
    </w:p>
    <w:p>
      <w:pPr>
        <w:pStyle w:val="1761"/>
        <w:numPr>
          <w:ilvl w:val="1"/>
          <w:numId w:val="32"/>
        </w:numPr>
        <w:ind w:left="0" w:firstLine="851"/>
        <w:jc w:val="both"/>
        <w:spacing w:after="0" w:line="240" w:lineRule="auto"/>
        <w:tabs>
          <w:tab w:val="left" w:pos="1080" w:leader="none"/>
        </w:tabs>
        <w:rPr>
          <w:rFonts w:ascii="Times New Roman" w:hAnsi="Times New Roman"/>
          <w:color w:val="000000"/>
          <w:sz w:val="24"/>
          <w:szCs w:val="24"/>
        </w:rPr>
      </w:pPr>
      <w:r>
        <w:rPr>
          <w:rFonts w:ascii="Times New Roman" w:hAnsi="Times New Roman"/>
          <w:color w:val="000000"/>
          <w:sz w:val="24"/>
          <w:szCs w:val="24"/>
        </w:rPr>
        <w:t xml:space="preserve">За</w:t>
      </w:r>
      <w:r>
        <w:rPr>
          <w:rFonts w:ascii="Times New Roman" w:hAnsi="Times New Roman"/>
          <w:color w:val="000000"/>
          <w:sz w:val="24"/>
          <w:szCs w:val="24"/>
        </w:rPr>
        <w:t xml:space="preserve">казчик вправе задержать оплату выполненных работ до устранения недостатков, выявленных при их приемке.</w:t>
      </w:r>
      <w:r>
        <w:rPr>
          <w:rFonts w:ascii="Times New Roman" w:hAnsi="Times New Roman"/>
          <w:color w:val="000000"/>
          <w:sz w:val="24"/>
          <w:szCs w:val="24"/>
        </w:rPr>
      </w:r>
      <w:r>
        <w:rPr>
          <w:rFonts w:ascii="Times New Roman" w:hAnsi="Times New Roman"/>
          <w:color w:val="000000"/>
          <w:sz w:val="24"/>
          <w:szCs w:val="24"/>
        </w:rPr>
      </w:r>
    </w:p>
    <w:p>
      <w:pPr>
        <w:pStyle w:val="1761"/>
        <w:numPr>
          <w:ilvl w:val="1"/>
          <w:numId w:val="32"/>
        </w:numPr>
        <w:ind w:left="0" w:firstLine="851"/>
        <w:jc w:val="both"/>
        <w:spacing w:after="0" w:line="240" w:lineRule="auto"/>
        <w:tabs>
          <w:tab w:val="left" w:pos="1080" w:leader="none"/>
        </w:tabs>
        <w:rPr>
          <w:rFonts w:ascii="Times New Roman" w:hAnsi="Times New Roman"/>
          <w:color w:val="000000"/>
          <w:sz w:val="24"/>
          <w:szCs w:val="24"/>
        </w:rPr>
      </w:pPr>
      <w:r>
        <w:rPr>
          <w:rFonts w:ascii="Times New Roman" w:hAnsi="Times New Roman"/>
          <w:color w:val="000000"/>
          <w:sz w:val="24"/>
          <w:szCs w:val="24"/>
        </w:rPr>
        <w:t xml:space="preserve">Заказчик вправе досрочно производить оплату выполненных работ.</w:t>
      </w:r>
      <w:r>
        <w:rPr>
          <w:rFonts w:ascii="Times New Roman" w:hAnsi="Times New Roman"/>
          <w:color w:val="000000"/>
          <w:sz w:val="24"/>
          <w:szCs w:val="24"/>
        </w:rPr>
      </w:r>
      <w:r>
        <w:rPr>
          <w:rFonts w:ascii="Times New Roman" w:hAnsi="Times New Roman"/>
          <w:color w:val="000000"/>
          <w:sz w:val="24"/>
          <w:szCs w:val="24"/>
        </w:rPr>
      </w:r>
    </w:p>
    <w:p>
      <w:pPr>
        <w:pStyle w:val="1761"/>
        <w:numPr>
          <w:ilvl w:val="1"/>
          <w:numId w:val="32"/>
        </w:numPr>
        <w:ind w:left="0" w:firstLine="851"/>
        <w:jc w:val="both"/>
        <w:spacing w:after="0" w:line="240" w:lineRule="auto"/>
        <w:tabs>
          <w:tab w:val="left" w:pos="1080" w:leader="none"/>
        </w:tabs>
        <w:rPr>
          <w:rFonts w:ascii="Times New Roman" w:hAnsi="Times New Roman"/>
          <w:color w:val="000000"/>
          <w:sz w:val="24"/>
          <w:szCs w:val="24"/>
        </w:rPr>
      </w:pPr>
      <w:r>
        <w:rPr>
          <w:rFonts w:ascii="Times New Roman" w:hAnsi="Times New Roman"/>
          <w:color w:val="000000"/>
          <w:sz w:val="24"/>
          <w:szCs w:val="24"/>
        </w:rPr>
        <w:t xml:space="preserve">Заказчик вправе в одностороннем порядке уменьшить сумму любых осуществляемых платежей по Д</w:t>
      </w:r>
      <w:r>
        <w:rPr>
          <w:rFonts w:ascii="Times New Roman" w:hAnsi="Times New Roman"/>
          <w:color w:val="000000"/>
          <w:sz w:val="24"/>
          <w:szCs w:val="24"/>
        </w:rPr>
        <w:t xml:space="preserve">оговору на величину штрафных санкций, выставляемых Подрядчику по Договору. При этом данное уменьшение платежей не освобождает Подрядчика от исполнения своих обязательств.</w:t>
      </w:r>
      <w:r>
        <w:rPr>
          <w:rFonts w:ascii="Times New Roman" w:hAnsi="Times New Roman"/>
          <w:color w:val="000000"/>
          <w:sz w:val="24"/>
          <w:szCs w:val="24"/>
        </w:rPr>
      </w:r>
      <w:r>
        <w:rPr>
          <w:rFonts w:ascii="Times New Roman" w:hAnsi="Times New Roman"/>
          <w:color w:val="000000"/>
          <w:sz w:val="24"/>
          <w:szCs w:val="24"/>
        </w:rPr>
      </w:r>
    </w:p>
    <w:p>
      <w:pPr>
        <w:pStyle w:val="1761"/>
        <w:numPr>
          <w:ilvl w:val="1"/>
          <w:numId w:val="32"/>
        </w:numPr>
        <w:ind w:left="0" w:firstLine="851"/>
        <w:jc w:val="both"/>
        <w:tabs>
          <w:tab w:val="left" w:pos="1080" w:leader="none"/>
        </w:tabs>
        <w:rPr>
          <w:rFonts w:ascii="Times New Roman" w:hAnsi="Times New Roman"/>
          <w:color w:val="000000"/>
          <w:sz w:val="24"/>
          <w:szCs w:val="24"/>
        </w:rPr>
      </w:pPr>
      <w:r>
        <w:rPr>
          <w:rFonts w:ascii="Times New Roman" w:hAnsi="Times New Roman"/>
          <w:color w:val="000000"/>
          <w:sz w:val="24"/>
          <w:szCs w:val="24"/>
        </w:rPr>
        <w:t xml:space="preserve">При наличии у Подрядчика задолженности  в виде гражданско-правовых обязательств, в то</w:t>
      </w:r>
      <w:r>
        <w:rPr>
          <w:rFonts w:ascii="Times New Roman" w:hAnsi="Times New Roman"/>
          <w:color w:val="000000"/>
          <w:sz w:val="24"/>
          <w:szCs w:val="24"/>
        </w:rPr>
        <w:t xml:space="preserve">м числе, но не ограничиваясь, о компенсации убытков, неосновательного обогащения, штрафных санкций, дебиторской и иной  задолженности перед Заказчиком по настоящему и любому иному договору, заключенному между Подрядчиком и Заказчиком, или возникшей из иног</w:t>
      </w:r>
      <w:r>
        <w:rPr>
          <w:rFonts w:ascii="Times New Roman" w:hAnsi="Times New Roman"/>
          <w:color w:val="000000"/>
          <w:sz w:val="24"/>
          <w:szCs w:val="24"/>
        </w:rPr>
        <w:t xml:space="preserve">о гражданско-правового основания Заказчик вправе в одностороннем порядке соотнести (установить сальдо расчётов) встречные денежные требования Сторон с кредиторской и иной задолженностью, возникшей у Заказчика по настоящему Договору или иному гражданско-пра</w:t>
      </w:r>
      <w:r>
        <w:rPr>
          <w:rFonts w:ascii="Times New Roman" w:hAnsi="Times New Roman"/>
          <w:color w:val="000000"/>
          <w:sz w:val="24"/>
          <w:szCs w:val="24"/>
        </w:rPr>
        <w:t xml:space="preserve">вовому основанию, направив Подрядчику письменное уведомление с соответствующим расчётом. При этом соотнесение встречных требований (установление сальдо расчетов) прекращает встречные требования в порядке и очередности, указанной в уведомлении Заказчика. </w:t>
      </w:r>
      <w:r>
        <w:rPr>
          <w:rFonts w:ascii="Times New Roman" w:hAnsi="Times New Roman"/>
          <w:color w:val="000000"/>
          <w:sz w:val="24"/>
          <w:szCs w:val="24"/>
        </w:rPr>
      </w:r>
      <w:r>
        <w:rPr>
          <w:rFonts w:ascii="Times New Roman" w:hAnsi="Times New Roman"/>
          <w:color w:val="000000"/>
          <w:sz w:val="24"/>
          <w:szCs w:val="24"/>
        </w:rPr>
      </w:r>
    </w:p>
    <w:p>
      <w:pPr>
        <w:pStyle w:val="1761"/>
        <w:ind w:left="0" w:firstLine="851"/>
        <w:jc w:val="both"/>
        <w:spacing w:after="0" w:line="240" w:lineRule="auto"/>
        <w:tabs>
          <w:tab w:val="left" w:pos="1080" w:leader="none"/>
        </w:tabs>
        <w:rPr>
          <w:rFonts w:ascii="Times New Roman" w:hAnsi="Times New Roman"/>
          <w:color w:val="000000"/>
          <w:sz w:val="24"/>
          <w:szCs w:val="24"/>
        </w:rPr>
      </w:pPr>
      <w:r>
        <w:rPr>
          <w:rFonts w:ascii="Times New Roman" w:hAnsi="Times New Roman"/>
          <w:color w:val="000000"/>
          <w:sz w:val="24"/>
          <w:szCs w:val="24"/>
        </w:rPr>
        <w:t xml:space="preserve">У</w:t>
      </w:r>
      <w:r>
        <w:rPr>
          <w:rFonts w:ascii="Times New Roman" w:hAnsi="Times New Roman"/>
          <w:color w:val="000000"/>
          <w:sz w:val="24"/>
          <w:szCs w:val="24"/>
        </w:rPr>
        <w:t xml:space="preserve">казанное право не прекращается на стороне Заказчика при расторжении настоящего Договора по любому из оснований, либо признании его недействительным, введении любой из процедур несостоятельности (банкротства) в отношении Подрядчика, возбуждении искового либ</w:t>
      </w:r>
      <w:r>
        <w:rPr>
          <w:rFonts w:ascii="Times New Roman" w:hAnsi="Times New Roman"/>
          <w:color w:val="000000"/>
          <w:sz w:val="24"/>
          <w:szCs w:val="24"/>
        </w:rPr>
        <w:t xml:space="preserve">о иного производства по взысканию задолженности, подлежащей соотнесению (установление сальдо расчётов).</w:t>
      </w:r>
      <w:r>
        <w:rPr>
          <w:rFonts w:ascii="Times New Roman" w:hAnsi="Times New Roman"/>
          <w:color w:val="000000"/>
          <w:sz w:val="24"/>
          <w:szCs w:val="24"/>
        </w:rPr>
      </w:r>
      <w:r>
        <w:rPr>
          <w:rFonts w:ascii="Times New Roman" w:hAnsi="Times New Roman"/>
          <w:color w:val="000000"/>
          <w:sz w:val="24"/>
          <w:szCs w:val="24"/>
        </w:rPr>
      </w:r>
    </w:p>
    <w:p>
      <w:pPr>
        <w:pStyle w:val="1761"/>
        <w:numPr>
          <w:ilvl w:val="1"/>
          <w:numId w:val="32"/>
        </w:numPr>
        <w:ind w:left="0" w:firstLine="851"/>
        <w:jc w:val="both"/>
        <w:spacing w:after="0" w:line="240" w:lineRule="auto"/>
        <w:tabs>
          <w:tab w:val="left" w:pos="1080" w:leader="none"/>
        </w:tabs>
        <w:rPr>
          <w:rFonts w:ascii="Times New Roman" w:hAnsi="Times New Roman"/>
          <w:color w:val="000000"/>
          <w:sz w:val="24"/>
          <w:szCs w:val="24"/>
          <w:highlight w:val="white"/>
        </w:rPr>
      </w:pPr>
      <w:r>
        <w:rPr>
          <w:rFonts w:ascii="Times New Roman" w:hAnsi="Times New Roman"/>
          <w:color w:val="000000"/>
          <w:sz w:val="24"/>
          <w:szCs w:val="24"/>
        </w:rPr>
        <w:t xml:space="preserve">Работы, выполненные Подрядчиком с отклонениями от требований нормативных правовых актов, Технического задания и иных исходных данных или иными </w:t>
      </w:r>
      <w:r>
        <w:rPr>
          <w:rFonts w:ascii="Times New Roman" w:hAnsi="Times New Roman"/>
          <w:color w:val="000000"/>
          <w:sz w:val="24"/>
          <w:szCs w:val="24"/>
          <w:highlight w:val="white"/>
        </w:rPr>
        <w:t xml:space="preserve">недостатк</w:t>
      </w:r>
      <w:r>
        <w:rPr>
          <w:rFonts w:ascii="Times New Roman" w:hAnsi="Times New Roman"/>
          <w:color w:val="000000"/>
          <w:sz w:val="24"/>
          <w:szCs w:val="24"/>
          <w:highlight w:val="white"/>
        </w:rPr>
        <w:t xml:space="preserve">ами, не подлежат оплате Заказчиком до устранения Подрядчиком обнаруженных недостатков.</w:t>
      </w:r>
      <w:r>
        <w:rPr>
          <w:rFonts w:ascii="Times New Roman" w:hAnsi="Times New Roman"/>
          <w:color w:val="000000"/>
          <w:sz w:val="24"/>
          <w:szCs w:val="24"/>
          <w:highlight w:val="white"/>
        </w:rPr>
      </w:r>
      <w:r>
        <w:rPr>
          <w:rFonts w:ascii="Times New Roman" w:hAnsi="Times New Roman"/>
          <w:color w:val="000000"/>
          <w:sz w:val="24"/>
          <w:szCs w:val="24"/>
          <w:highlight w:val="white"/>
        </w:rPr>
      </w:r>
    </w:p>
    <w:p>
      <w:pPr>
        <w:pStyle w:val="1761"/>
        <w:numPr>
          <w:ilvl w:val="1"/>
          <w:numId w:val="32"/>
        </w:numPr>
        <w:ind w:left="0" w:firstLine="851"/>
        <w:jc w:val="both"/>
        <w:spacing w:after="0" w:line="240" w:lineRule="auto"/>
        <w:tabs>
          <w:tab w:val="left" w:pos="1080" w:leader="none"/>
        </w:tabs>
        <w:rPr>
          <w:rFonts w:ascii="Times New Roman" w:hAnsi="Times New Roman"/>
          <w:color w:val="000000"/>
          <w:sz w:val="24"/>
          <w:szCs w:val="24"/>
          <w:highlight w:val="white"/>
        </w:rPr>
      </w:pPr>
      <w:r>
        <w:rPr>
          <w:rFonts w:ascii="Times New Roman" w:hAnsi="Times New Roman"/>
          <w:sz w:val="24"/>
          <w:szCs w:val="24"/>
          <w:highlight w:val="white"/>
        </w:rPr>
        <w:t xml:space="preserve">Оплата выполненных и принятых работ по договору, в том числе по этапам, осуществляется Заказчиком при условии надлежащего исполнения Подрядчиком, требований, установленн</w:t>
      </w:r>
      <w:r>
        <w:rPr>
          <w:rFonts w:ascii="Times New Roman" w:hAnsi="Times New Roman"/>
          <w:sz w:val="24"/>
          <w:szCs w:val="24"/>
          <w:highlight w:val="white"/>
        </w:rPr>
        <w:t xml:space="preserve">ых пунктом</w:t>
      </w:r>
      <w:r>
        <w:rPr>
          <w:rFonts w:ascii="Times New Roman" w:hAnsi="Times New Roman"/>
          <w:color w:val="auto"/>
          <w:sz w:val="24"/>
          <w:szCs w:val="24"/>
          <w:highlight w:val="white"/>
        </w:rPr>
        <w:t xml:space="preserve"> </w:t>
      </w:r>
      <w:r>
        <w:rPr>
          <w:rFonts w:ascii="Times New Roman" w:hAnsi="Times New Roman"/>
          <w:color w:val="auto"/>
          <w:sz w:val="24"/>
          <w:szCs w:val="24"/>
          <w:highlight w:val="white"/>
        </w:rPr>
        <w:t xml:space="preserve">5.30</w:t>
      </w:r>
      <w:r>
        <w:rPr>
          <w:rFonts w:ascii="Times New Roman" w:hAnsi="Times New Roman"/>
          <w:color w:val="auto"/>
          <w:sz w:val="24"/>
          <w:szCs w:val="24"/>
          <w:highlight w:val="white"/>
        </w:rPr>
        <w:t xml:space="preserve"> </w:t>
      </w:r>
      <w:r>
        <w:rPr>
          <w:rFonts w:ascii="Times New Roman" w:hAnsi="Times New Roman"/>
          <w:sz w:val="24"/>
          <w:szCs w:val="24"/>
          <w:highlight w:val="white"/>
        </w:rPr>
        <w:t xml:space="preserve">и разделом 13 Договора.</w:t>
      </w:r>
      <w:r>
        <w:rPr>
          <w:rStyle w:val="1763"/>
          <w:rFonts w:ascii="Times New Roman" w:hAnsi="Times New Roman"/>
          <w:sz w:val="24"/>
          <w:szCs w:val="24"/>
          <w:highlight w:val="white"/>
        </w:rPr>
        <w:footnoteReference w:id="9"/>
      </w:r>
      <w:r>
        <w:rPr>
          <w:rFonts w:ascii="Times New Roman" w:hAnsi="Times New Roman"/>
          <w:color w:val="000000"/>
          <w:sz w:val="24"/>
          <w:szCs w:val="24"/>
          <w:highlight w:val="white"/>
        </w:rPr>
      </w:r>
      <w:r>
        <w:rPr>
          <w:rFonts w:ascii="Times New Roman" w:hAnsi="Times New Roman"/>
          <w:color w:val="000000"/>
          <w:sz w:val="24"/>
          <w:szCs w:val="24"/>
          <w:highlight w:val="white"/>
        </w:rPr>
      </w:r>
    </w:p>
    <w:p>
      <w:pPr>
        <w:ind w:firstLine="709"/>
        <w:jc w:val="both"/>
        <w:spacing w:before="14" w:after="14"/>
        <w:tabs>
          <w:tab w:val="left" w:pos="1276" w:leader="none"/>
          <w:tab w:val="left" w:pos="9370" w:leader="underscore"/>
        </w:tabs>
        <w:rPr>
          <w:lang w:eastAsia="ar-SA"/>
        </w:rPr>
      </w:pPr>
      <w:r>
        <w:t xml:space="preserve">3.11.1.</w:t>
      </w:r>
      <w:r>
        <w:rPr>
          <w:lang w:eastAsia="ar-SA"/>
        </w:rPr>
        <w:t xml:space="preserve"> В случае наличия затрат на страхование в Сводном сметном расчете стоимости строительства, в соответствии с Приказом Министерства строительства и жилищно-коммунального хозяйства РФ от 04.08.2020г. №421/</w:t>
      </w:r>
      <w:r>
        <w:rPr>
          <w:lang w:eastAsia="ar-SA"/>
        </w:rPr>
        <w:t xml:space="preserve">пр</w:t>
      </w:r>
      <w:r>
        <w:rPr>
          <w:lang w:eastAsia="ar-SA"/>
        </w:rPr>
        <w:t xml:space="preserve"> (в р</w:t>
      </w:r>
      <w:r>
        <w:rPr>
          <w:lang w:eastAsia="ar-SA"/>
        </w:rPr>
        <w:t xml:space="preserve">ед. Приказа Министерства строительства и жилищно-коммунального хозяйства РФ</w:t>
      </w:r>
      <w:r>
        <w:t xml:space="preserve"> от 30.01.2024 №55/</w:t>
      </w:r>
      <w:r>
        <w:t xml:space="preserve">пр</w:t>
      </w:r>
      <w:r>
        <w:rPr>
          <w:lang w:eastAsia="ar-SA"/>
        </w:rPr>
        <w:t xml:space="preserve">), Заказчик оставляет за собой право возмещения данных затрат при условии:</w:t>
      </w:r>
      <w:r>
        <w:rPr>
          <w:lang w:eastAsia="ar-SA"/>
        </w:rPr>
      </w:r>
      <w:r>
        <w:rPr>
          <w:lang w:eastAsia="ar-SA"/>
        </w:rPr>
      </w:r>
    </w:p>
    <w:p>
      <w:pPr>
        <w:ind w:firstLine="709"/>
        <w:jc w:val="both"/>
        <w:spacing w:before="14" w:after="14"/>
        <w:tabs>
          <w:tab w:val="left" w:pos="1276" w:leader="none"/>
          <w:tab w:val="left" w:pos="9370" w:leader="underscore"/>
        </w:tabs>
        <w:rPr>
          <w:highlight w:val="white"/>
        </w:rPr>
      </w:pPr>
      <w:r>
        <w:rPr>
          <w:lang w:eastAsia="ar-SA"/>
        </w:rPr>
        <w:t xml:space="preserve">- подписания акта приёмки законченного строительством объекта рабочей комиссией (по ф</w:t>
      </w:r>
      <w:r>
        <w:rPr>
          <w:lang w:eastAsia="ar-SA"/>
        </w:rPr>
        <w:t xml:space="preserve">орме, утвержденной типовым порядком приёмки в эксплуатацию законченных строи</w:t>
      </w:r>
      <w:r>
        <w:rPr>
          <w:highlight w:val="white"/>
          <w:lang w:eastAsia="ar-SA"/>
        </w:rPr>
        <w:t xml:space="preserve">тельством объектов).</w:t>
      </w:r>
      <w:r>
        <w:rPr>
          <w:highlight w:val="white"/>
        </w:rPr>
      </w:r>
      <w:r>
        <w:rPr>
          <w:highlight w:val="white"/>
        </w:rPr>
      </w:r>
    </w:p>
    <w:p>
      <w:pPr>
        <w:ind w:firstLine="709"/>
        <w:jc w:val="both"/>
        <w:spacing w:before="14" w:after="14"/>
        <w:tabs>
          <w:tab w:val="left" w:pos="1276" w:leader="none"/>
          <w:tab w:val="left" w:pos="9370" w:leader="underscore"/>
        </w:tabs>
        <w:rPr>
          <w:highlight w:val="white"/>
        </w:rPr>
      </w:pPr>
      <w:r>
        <w:rPr>
          <w:highlight w:val="white"/>
          <w:lang w:eastAsia="ar-SA"/>
        </w:rPr>
        <w:t xml:space="preserve">В целях получения Компенсации затрат Подрядчик одновременно с последним выполнением после выполнения всех обязательств по договору и надлежащем исполнении треб</w:t>
      </w:r>
      <w:r>
        <w:rPr>
          <w:highlight w:val="white"/>
          <w:lang w:eastAsia="ar-SA"/>
        </w:rPr>
        <w:t xml:space="preserve">ований пунктов </w:t>
      </w:r>
      <w:r>
        <w:rPr>
          <w:color w:val="auto"/>
          <w:highlight w:val="white"/>
          <w:lang w:eastAsia="ar-SA"/>
        </w:rPr>
        <w:t xml:space="preserve">5.30.-.5.33.8</w:t>
      </w:r>
      <w:r>
        <w:rPr>
          <w:highlight w:val="white"/>
          <w:lang w:eastAsia="ar-SA"/>
        </w:rPr>
        <w:t xml:space="preserve"> настоящего Договора, направляет Акт прочих затрат, составленный в двух экземплярах по форме Приложения №14 к настоящему договору (далее-Акт прочих затрат) и счет на оплату.</w:t>
      </w:r>
      <w:r>
        <w:rPr>
          <w:highlight w:val="white"/>
        </w:rPr>
      </w:r>
      <w:r>
        <w:rPr>
          <w:highlight w:val="white"/>
        </w:rPr>
      </w:r>
    </w:p>
    <w:p>
      <w:pPr>
        <w:ind w:firstLine="709"/>
        <w:jc w:val="both"/>
        <w:spacing w:before="14" w:after="14"/>
        <w:tabs>
          <w:tab w:val="left" w:pos="1276" w:leader="none"/>
          <w:tab w:val="left" w:pos="9370" w:leader="underscore"/>
        </w:tabs>
        <w:rPr>
          <w:lang w:eastAsia="ar-SA"/>
        </w:rPr>
      </w:pPr>
      <w:r>
        <w:rPr>
          <w:lang w:eastAsia="ar-SA"/>
        </w:rPr>
        <w:t xml:space="preserve">Компенсация затрат производится на основании подписанно</w:t>
      </w:r>
      <w:r>
        <w:rPr>
          <w:lang w:eastAsia="ar-SA"/>
        </w:rPr>
        <w:t xml:space="preserve">го Сторонами Акта прочих затрат и составляет - не более суммы, определенной в Сводной таблице стоимости и не более фактически оплаченной подрядчиком страховой премии. </w:t>
      </w:r>
      <w:r>
        <w:rPr>
          <w:lang w:eastAsia="ar-SA"/>
        </w:rPr>
      </w:r>
      <w:r>
        <w:rPr>
          <w:lang w:eastAsia="ar-SA"/>
        </w:rPr>
      </w:r>
    </w:p>
    <w:p>
      <w:pPr>
        <w:ind w:firstLine="709"/>
        <w:jc w:val="both"/>
        <w:spacing w:before="14" w:after="14"/>
        <w:tabs>
          <w:tab w:val="left" w:pos="1276" w:leader="none"/>
          <w:tab w:val="left" w:pos="9370" w:leader="underscore"/>
        </w:tabs>
        <w:rPr>
          <w:lang w:eastAsia="ar-SA"/>
        </w:rPr>
      </w:pPr>
      <w:r>
        <w:rPr>
          <w:lang w:eastAsia="ar-SA"/>
        </w:rPr>
        <w:t xml:space="preserve">3.11.2. В случае наличия затрат, связанных с предоставлением Независимой гарантии в Свод</w:t>
      </w:r>
      <w:r>
        <w:rPr>
          <w:lang w:eastAsia="ar-SA"/>
        </w:rPr>
        <w:t xml:space="preserve">ном сметном расчете стоимости строительства, в соответствии с Приказом Министерства строительства и жилищно-коммунального хозяйства РФ от 04.08.2020г. №421/</w:t>
      </w:r>
      <w:r>
        <w:rPr>
          <w:lang w:eastAsia="ar-SA"/>
        </w:rPr>
        <w:t xml:space="preserve">пр</w:t>
      </w:r>
      <w:r>
        <w:rPr>
          <w:lang w:eastAsia="ar-SA"/>
        </w:rPr>
        <w:t xml:space="preserve"> (в ред. Приказа Министерства строительства и жилищно-коммунального хозяйства РФ</w:t>
      </w:r>
      <w:r>
        <w:t xml:space="preserve"> от 30.01.2024 №55</w:t>
      </w:r>
      <w:r>
        <w:t xml:space="preserve">/</w:t>
      </w:r>
      <w:r>
        <w:t xml:space="preserve">пр</w:t>
      </w:r>
      <w:r>
        <w:rPr>
          <w:lang w:eastAsia="ar-SA"/>
        </w:rPr>
        <w:t xml:space="preserve">), Заказчик оставляет за собой право возмещения данных затрат при условии:</w:t>
      </w:r>
      <w:r>
        <w:rPr>
          <w:lang w:eastAsia="ar-SA"/>
        </w:rPr>
      </w:r>
      <w:r>
        <w:rPr>
          <w:lang w:eastAsia="ar-SA"/>
        </w:rPr>
      </w:r>
    </w:p>
    <w:p>
      <w:pPr>
        <w:ind w:firstLine="709"/>
        <w:jc w:val="both"/>
        <w:spacing w:before="14" w:after="14"/>
        <w:tabs>
          <w:tab w:val="left" w:pos="1276" w:leader="none"/>
          <w:tab w:val="left" w:pos="9370" w:leader="underscore"/>
        </w:tabs>
        <w:rPr>
          <w:lang w:eastAsia="ar-SA"/>
        </w:rPr>
      </w:pPr>
      <w:r>
        <w:rPr>
          <w:lang w:eastAsia="ar-SA"/>
        </w:rPr>
        <w:t xml:space="preserve">- отсутствия фактов требований Заказчика по предоставленным независимым гарантиям и неурегулированных претензий к Подрядчику;</w:t>
      </w:r>
      <w:r>
        <w:rPr>
          <w:lang w:eastAsia="ar-SA"/>
        </w:rPr>
      </w:r>
      <w:r>
        <w:rPr>
          <w:lang w:eastAsia="ar-SA"/>
        </w:rPr>
      </w:r>
    </w:p>
    <w:p>
      <w:pPr>
        <w:ind w:firstLine="709"/>
        <w:jc w:val="both"/>
        <w:spacing w:before="14" w:after="14"/>
        <w:tabs>
          <w:tab w:val="left" w:pos="1276" w:leader="none"/>
          <w:tab w:val="left" w:pos="9370" w:leader="underscore"/>
        </w:tabs>
        <w:rPr>
          <w:lang w:eastAsia="ar-SA"/>
        </w:rPr>
      </w:pPr>
      <w:r>
        <w:rPr>
          <w:lang w:eastAsia="ar-SA"/>
        </w:rPr>
        <w:t xml:space="preserve">- подписания акта приёмки законченного строительство</w:t>
      </w:r>
      <w:r>
        <w:rPr>
          <w:lang w:eastAsia="ar-SA"/>
        </w:rPr>
        <w:t xml:space="preserve">м объекта рабочей комиссией (по форме, утвержденной типовым порядком приёмки в эксплуатацию законченных строительством объектов).</w:t>
      </w:r>
      <w:r>
        <w:rPr>
          <w:lang w:eastAsia="ar-SA"/>
        </w:rPr>
      </w:r>
      <w:r>
        <w:rPr>
          <w:lang w:eastAsia="ar-SA"/>
        </w:rPr>
      </w:r>
    </w:p>
    <w:p>
      <w:pPr>
        <w:ind w:firstLine="709"/>
        <w:jc w:val="both"/>
        <w:spacing w:before="14" w:after="14"/>
        <w:tabs>
          <w:tab w:val="left" w:pos="1276" w:leader="none"/>
          <w:tab w:val="left" w:pos="9370" w:leader="underscore"/>
        </w:tabs>
        <w:rPr>
          <w:lang w:eastAsia="ar-SA"/>
        </w:rPr>
      </w:pPr>
      <w:r>
        <w:rPr>
          <w:lang w:eastAsia="ar-SA"/>
        </w:rPr>
        <w:t xml:space="preserve">В целях получения Компенсации затрат Подрядчик одновременно с последним выполнением после выполнения всех обязательств по договору передает Заказчику следующие документы:</w:t>
      </w:r>
      <w:r>
        <w:rPr>
          <w:lang w:eastAsia="ar-SA"/>
        </w:rPr>
      </w:r>
      <w:r>
        <w:rPr>
          <w:lang w:eastAsia="ar-SA"/>
        </w:rPr>
      </w:r>
    </w:p>
    <w:p>
      <w:pPr>
        <w:ind w:firstLine="709"/>
        <w:jc w:val="both"/>
        <w:spacing w:before="14" w:after="14"/>
        <w:tabs>
          <w:tab w:val="left" w:pos="1276" w:leader="none"/>
          <w:tab w:val="left" w:pos="9370" w:leader="underscore"/>
        </w:tabs>
        <w:rPr>
          <w:lang w:eastAsia="ar-SA"/>
        </w:rPr>
      </w:pPr>
      <w:r>
        <w:rPr>
          <w:lang w:eastAsia="ar-SA"/>
        </w:rPr>
        <w:t xml:space="preserve">- оригинал или заверенную гарантом копию договора, заключенного между кредитной орган</w:t>
      </w:r>
      <w:r>
        <w:rPr>
          <w:lang w:eastAsia="ar-SA"/>
        </w:rPr>
        <w:t xml:space="preserve">изацией (Гарантом) и Подрядчиком, в соответствии с которым кредитная организация предоставляет независимую гарантию, с определением расходной части Подрядчика за данное предоставление (далее - Договор с Гарантом);</w:t>
      </w:r>
      <w:r>
        <w:rPr>
          <w:lang w:eastAsia="ar-SA"/>
        </w:rPr>
      </w:r>
      <w:r>
        <w:rPr>
          <w:lang w:eastAsia="ar-SA"/>
        </w:rPr>
      </w:r>
    </w:p>
    <w:p>
      <w:pPr>
        <w:ind w:firstLine="709"/>
        <w:jc w:val="both"/>
        <w:spacing w:before="14" w:after="14"/>
        <w:tabs>
          <w:tab w:val="left" w:pos="1276" w:leader="none"/>
          <w:tab w:val="left" w:pos="9370" w:leader="underscore"/>
        </w:tabs>
        <w:rPr>
          <w:lang w:eastAsia="ar-SA"/>
        </w:rPr>
      </w:pPr>
      <w:r>
        <w:rPr>
          <w:lang w:eastAsia="ar-SA"/>
        </w:rPr>
        <w:t xml:space="preserve">- в случае если Договор с Гарантом подписа</w:t>
      </w:r>
      <w:r>
        <w:rPr>
          <w:lang w:eastAsia="ar-SA"/>
        </w:rPr>
        <w:t xml:space="preserve">н уполномоченными лицами на основании доверенностей - копии этих доверенностей, заверенные доверителем;</w:t>
      </w:r>
      <w:r>
        <w:rPr>
          <w:lang w:eastAsia="ar-SA"/>
        </w:rPr>
      </w:r>
      <w:r>
        <w:rPr>
          <w:lang w:eastAsia="ar-SA"/>
        </w:rPr>
      </w:r>
    </w:p>
    <w:p>
      <w:pPr>
        <w:ind w:firstLine="709"/>
        <w:jc w:val="both"/>
        <w:spacing w:before="14" w:after="14"/>
        <w:tabs>
          <w:tab w:val="left" w:pos="1276" w:leader="none"/>
          <w:tab w:val="left" w:pos="9370" w:leader="underscore"/>
        </w:tabs>
        <w:rPr>
          <w:lang w:eastAsia="ar-SA"/>
        </w:rPr>
      </w:pPr>
      <w:r>
        <w:rPr>
          <w:lang w:eastAsia="ar-SA"/>
        </w:rPr>
        <w:t xml:space="preserve">- платежное поручение с отметкой Гаранта об оплате Подрядчиком указанной расходной части (в полном объеме). При этом, в платежном поручении обязательна </w:t>
      </w:r>
      <w:r>
        <w:rPr>
          <w:lang w:eastAsia="ar-SA"/>
        </w:rPr>
        <w:t xml:space="preserve">ссылка об оплате на основании Договора с Гарантом. В случае отсутствия такой ссылки – Подрядчик также предоставляет письмо Гаранта с указанием принадлежности независимой гарантии к Договору с Гарантом;</w:t>
      </w:r>
      <w:r>
        <w:rPr>
          <w:lang w:eastAsia="ar-SA"/>
        </w:rPr>
      </w:r>
      <w:r>
        <w:rPr>
          <w:lang w:eastAsia="ar-SA"/>
        </w:rPr>
      </w:r>
    </w:p>
    <w:p>
      <w:pPr>
        <w:ind w:firstLine="709"/>
        <w:jc w:val="both"/>
        <w:spacing w:before="14" w:after="14"/>
        <w:tabs>
          <w:tab w:val="left" w:pos="1276" w:leader="none"/>
          <w:tab w:val="left" w:pos="9370" w:leader="underscore"/>
        </w:tabs>
        <w:rPr>
          <w:lang w:eastAsia="ar-SA"/>
        </w:rPr>
      </w:pPr>
      <w:r>
        <w:rPr>
          <w:lang w:eastAsia="ar-SA"/>
        </w:rPr>
        <w:t xml:space="preserve">- в двух экземплярах, подписанный со стороны Подрядчика, Акт прочих затрат, составленный по форме Приложения №14 к настоящему договору и счет на оплату.</w:t>
      </w:r>
      <w:r>
        <w:rPr>
          <w:lang w:eastAsia="ar-SA"/>
        </w:rPr>
      </w:r>
      <w:r>
        <w:rPr>
          <w:lang w:eastAsia="ar-SA"/>
        </w:rPr>
      </w:r>
    </w:p>
    <w:p>
      <w:pPr>
        <w:ind w:firstLine="709"/>
        <w:jc w:val="both"/>
        <w:spacing w:before="14" w:after="14"/>
        <w:tabs>
          <w:tab w:val="left" w:pos="1276" w:leader="none"/>
          <w:tab w:val="left" w:pos="9370" w:leader="underscore"/>
        </w:tabs>
        <w:rPr>
          <w:highlight w:val="white"/>
        </w:rPr>
      </w:pPr>
      <w:r>
        <w:rPr>
          <w:lang w:eastAsia="ar-SA"/>
        </w:rPr>
        <w:t xml:space="preserve">Компенсация затрат производится на основании подписанного Сторонами Акта прочих затрат и составляет - н</w:t>
      </w:r>
      <w:r>
        <w:rPr>
          <w:lang w:eastAsia="ar-SA"/>
        </w:rPr>
        <w:t xml:space="preserve">е более суммы, определенной в Сметной документации и не более </w:t>
      </w:r>
      <w:r>
        <w:rPr>
          <w:highlight w:val="white"/>
          <w:lang w:eastAsia="ar-SA"/>
        </w:rPr>
        <w:t xml:space="preserve">суммы, фактически оплаченной Подрядчиком по Договору с Гарантом. </w:t>
      </w:r>
      <w:r>
        <w:rPr>
          <w:highlight w:val="white"/>
        </w:rPr>
      </w:r>
      <w:r>
        <w:rPr>
          <w:highlight w:val="white"/>
        </w:rPr>
      </w:r>
    </w:p>
    <w:p>
      <w:pPr>
        <w:ind w:firstLine="567"/>
        <w:jc w:val="both"/>
        <w:rPr>
          <w:highlight w:val="white"/>
        </w:rPr>
      </w:pPr>
      <w:r>
        <w:rPr>
          <w:highlight w:val="white"/>
          <w:lang w:eastAsia="ar-SA"/>
        </w:rPr>
        <w:t xml:space="preserve">3.11.3. Заказчик производит оплату - Компенсацию затрат, понесенных Подрядчиком на страхование строительно-монтажных работ и свя</w:t>
      </w:r>
      <w:r>
        <w:rPr>
          <w:highlight w:val="white"/>
          <w:lang w:eastAsia="ar-SA"/>
        </w:rPr>
        <w:t xml:space="preserve">занных с предоставлением Независимой гарантии в соответствии с подписанными Сторонами Актами прочих затрат, по реквизитам, указанным в Договоре, </w:t>
      </w:r>
      <w:r>
        <w:rPr>
          <w:sz w:val="24"/>
          <w:szCs w:val="24"/>
          <w:highlight w:val="white"/>
        </w:rPr>
        <w:t xml:space="preserve">в срок указанный в пункте 3.3. Договора.</w:t>
      </w:r>
      <w:r>
        <w:rPr>
          <w:highlight w:val="white"/>
          <w:lang w:eastAsia="ar-SA"/>
        </w:rPr>
        <w:t xml:space="preserve">.</w:t>
      </w:r>
      <w:r>
        <w:rPr>
          <w:highlight w:val="white"/>
        </w:rPr>
      </w:r>
      <w:r>
        <w:rPr>
          <w:highlight w:val="white"/>
        </w:rPr>
      </w:r>
    </w:p>
    <w:p>
      <w:pPr>
        <w:pStyle w:val="1761"/>
        <w:numPr>
          <w:ilvl w:val="1"/>
          <w:numId w:val="32"/>
        </w:numPr>
        <w:ind w:left="0" w:firstLine="851"/>
        <w:jc w:val="both"/>
        <w:spacing w:after="0" w:line="240" w:lineRule="auto"/>
        <w:shd w:val="clear" w:color="auto" w:fill="ffffff"/>
        <w:widowControl w:val="off"/>
        <w:rPr>
          <w:rFonts w:ascii="Times New Roman" w:hAnsi="Times New Roman"/>
          <w:bCs/>
          <w:iCs/>
          <w:sz w:val="24"/>
          <w:szCs w:val="24"/>
        </w:rPr>
      </w:pPr>
      <w:r>
        <w:rPr>
          <w:rFonts w:ascii="Times New Roman" w:hAnsi="Times New Roman"/>
          <w:bCs/>
          <w:iCs/>
          <w:sz w:val="24"/>
          <w:szCs w:val="24"/>
          <w:highlight w:val="white"/>
        </w:rPr>
        <w:t xml:space="preserve">Подрядчик вправе уступить право требования опла</w:t>
      </w:r>
      <w:r>
        <w:rPr>
          <w:rFonts w:ascii="Times New Roman" w:hAnsi="Times New Roman"/>
          <w:bCs/>
          <w:iCs/>
          <w:sz w:val="24"/>
          <w:szCs w:val="24"/>
        </w:rPr>
        <w:t xml:space="preserve">ты по исполненным договорным обязательст</w:t>
      </w:r>
      <w:r>
        <w:rPr>
          <w:rFonts w:ascii="Times New Roman" w:hAnsi="Times New Roman"/>
          <w:bCs/>
          <w:iCs/>
          <w:sz w:val="24"/>
          <w:szCs w:val="24"/>
        </w:rPr>
        <w:t xml:space="preserve">вам в пользу иного лица (финансового агента) после </w:t>
      </w:r>
      <w:r>
        <w:rPr>
          <w:rFonts w:ascii="Times New Roman" w:hAnsi="Times New Roman"/>
          <w:bCs/>
          <w:iCs/>
          <w:sz w:val="24"/>
          <w:szCs w:val="24"/>
        </w:rPr>
        <w:t xml:space="preserve">получения  письменного</w:t>
      </w:r>
      <w:r>
        <w:rPr>
          <w:rFonts w:ascii="Times New Roman" w:hAnsi="Times New Roman"/>
          <w:bCs/>
          <w:iCs/>
          <w:sz w:val="24"/>
          <w:szCs w:val="24"/>
        </w:rPr>
        <w:t xml:space="preserve"> согласия Заказчика. </w:t>
      </w:r>
      <w:r>
        <w:rPr>
          <w:rFonts w:ascii="Times New Roman" w:hAnsi="Times New Roman"/>
          <w:bCs/>
          <w:iCs/>
          <w:sz w:val="24"/>
          <w:szCs w:val="24"/>
        </w:rPr>
      </w:r>
      <w:r>
        <w:rPr>
          <w:rFonts w:ascii="Times New Roman" w:hAnsi="Times New Roman"/>
          <w:bCs/>
          <w:iCs/>
          <w:sz w:val="24"/>
          <w:szCs w:val="24"/>
        </w:rPr>
      </w:r>
    </w:p>
    <w:p>
      <w:pPr>
        <w:pStyle w:val="1761"/>
        <w:ind w:left="0" w:firstLine="851"/>
        <w:jc w:val="both"/>
        <w:spacing w:after="0" w:line="240" w:lineRule="auto"/>
        <w:shd w:val="clear" w:color="auto" w:fill="ffffff"/>
        <w:widowControl w:val="off"/>
        <w:rPr>
          <w:rFonts w:ascii="Times New Roman" w:hAnsi="Times New Roman"/>
          <w:bCs/>
          <w:iCs/>
          <w:sz w:val="24"/>
          <w:szCs w:val="24"/>
        </w:rPr>
      </w:pPr>
      <w:r>
        <w:rPr>
          <w:rFonts w:ascii="Times New Roman" w:hAnsi="Times New Roman"/>
          <w:bCs/>
          <w:iCs/>
          <w:sz w:val="24"/>
          <w:szCs w:val="24"/>
        </w:rPr>
        <w:t xml:space="preserve">Обязательным условием для возникновения у Подрядчика права на указанную уступку является надлежащее исполнение Подрядчиком требований о предоставлении обеспечите</w:t>
      </w:r>
      <w:r>
        <w:rPr>
          <w:rFonts w:ascii="Times New Roman" w:hAnsi="Times New Roman"/>
          <w:bCs/>
          <w:iCs/>
          <w:sz w:val="24"/>
          <w:szCs w:val="24"/>
        </w:rPr>
        <w:t xml:space="preserve">льных мер по Договору и договора страхования</w:t>
      </w:r>
      <w:r>
        <w:rPr>
          <w:rStyle w:val="1763"/>
          <w:rFonts w:ascii="Times New Roman" w:hAnsi="Times New Roman"/>
          <w:bCs/>
          <w:iCs/>
          <w:sz w:val="24"/>
          <w:szCs w:val="24"/>
        </w:rPr>
        <w:footnoteReference w:id="10"/>
      </w:r>
      <w:r>
        <w:rPr>
          <w:rFonts w:ascii="Times New Roman" w:hAnsi="Times New Roman"/>
          <w:bCs/>
          <w:iCs/>
          <w:sz w:val="24"/>
          <w:szCs w:val="24"/>
        </w:rPr>
        <w:t xml:space="preserve">. </w:t>
      </w:r>
      <w:r>
        <w:rPr>
          <w:rFonts w:ascii="Times New Roman" w:hAnsi="Times New Roman"/>
          <w:bCs/>
          <w:iCs/>
          <w:sz w:val="24"/>
          <w:szCs w:val="24"/>
        </w:rPr>
      </w:r>
      <w:r>
        <w:rPr>
          <w:rFonts w:ascii="Times New Roman" w:hAnsi="Times New Roman"/>
          <w:bCs/>
          <w:iCs/>
          <w:sz w:val="24"/>
          <w:szCs w:val="24"/>
        </w:rPr>
      </w:r>
    </w:p>
    <w:p>
      <w:pPr>
        <w:ind w:firstLine="851"/>
        <w:jc w:val="both"/>
        <w:shd w:val="clear" w:color="auto" w:fill="ffffff"/>
        <w:widowControl w:val="off"/>
        <w:rPr>
          <w:bCs/>
          <w:iCs/>
        </w:rPr>
      </w:pPr>
      <w:r>
        <w:rPr>
          <w:bCs/>
          <w:iCs/>
        </w:rPr>
        <w:t xml:space="preserve">Подрядчик обеспечивает представление в адрес Заказчика оригинала составленного в письменной форме трехстороннего уведомления об уступке денежного требования </w:t>
      </w:r>
      <w:r>
        <w:rPr>
          <w:bCs/>
          <w:iCs/>
        </w:rPr>
        <w:br/>
        <w:t xml:space="preserve">в течение 2 (двух) рабочих дней со дня осуществлен</w:t>
      </w:r>
      <w:r>
        <w:rPr>
          <w:bCs/>
          <w:iCs/>
        </w:rPr>
        <w:t xml:space="preserve">ия уступки.</w:t>
      </w:r>
      <w:r>
        <w:rPr>
          <w:bCs/>
          <w:iCs/>
        </w:rPr>
      </w:r>
      <w:r>
        <w:rPr>
          <w:bCs/>
          <w:iCs/>
        </w:rPr>
      </w:r>
    </w:p>
    <w:p>
      <w:pPr>
        <w:ind w:firstLine="851"/>
        <w:jc w:val="both"/>
        <w:rPr>
          <w:bCs/>
          <w:iCs/>
        </w:rPr>
      </w:pPr>
      <w:r>
        <w:rPr>
          <w:bCs/>
          <w:iCs/>
        </w:rPr>
        <w:t xml:space="preserve">В случае уступки Подрядчиком права денежного требования по Договору, совершенной с нарушением условий, указанных в абзацах первом и втором настоящего пункта, Подрядчик уплачивает Заказчику штраф за каждое нарушение в размере 1% (одного процента</w:t>
      </w:r>
      <w:r>
        <w:rPr>
          <w:bCs/>
          <w:iCs/>
        </w:rPr>
        <w:t xml:space="preserve">) от цены Договора.</w:t>
      </w:r>
      <w:r>
        <w:rPr>
          <w:bCs/>
          <w:iCs/>
        </w:rPr>
      </w:r>
      <w:r>
        <w:rPr>
          <w:bCs/>
          <w:iCs/>
        </w:rPr>
      </w:r>
    </w:p>
    <w:p>
      <w:pPr>
        <w:pStyle w:val="1761"/>
        <w:numPr>
          <w:ilvl w:val="1"/>
          <w:numId w:val="32"/>
        </w:numPr>
        <w:ind w:left="0" w:firstLine="851"/>
        <w:jc w:val="both"/>
        <w:spacing w:after="0" w:line="240" w:lineRule="auto"/>
        <w:rPr>
          <w:rFonts w:ascii="Times New Roman" w:hAnsi="Times New Roman"/>
          <w:iCs/>
          <w:sz w:val="24"/>
          <w:szCs w:val="24"/>
        </w:rPr>
      </w:pPr>
      <w:r>
        <w:rPr>
          <w:rStyle w:val="1763"/>
          <w:rFonts w:ascii="Times New Roman" w:hAnsi="Times New Roman"/>
          <w:sz w:val="24"/>
          <w:szCs w:val="24"/>
        </w:rPr>
        <w:footnoteReference w:id="11"/>
      </w:r>
      <w:r>
        <w:rPr>
          <w:rFonts w:ascii="Times New Roman" w:hAnsi="Times New Roman"/>
          <w:sz w:val="24"/>
          <w:szCs w:val="24"/>
        </w:rPr>
        <w:t xml:space="preserve">Заказчик вправе перечислить Подрядчику аванс в размере, не превышающем 50% (пятьдесят процентов) от Цены по Договору, при условии предоставления обеспечения на условиях и в порядке согласно разделу 13 Договора</w:t>
      </w:r>
      <w:r>
        <w:rPr>
          <w:rFonts w:ascii="Times New Roman" w:hAnsi="Times New Roman"/>
          <w:sz w:val="24"/>
          <w:szCs w:val="24"/>
          <w:vertAlign w:val="superscript"/>
        </w:rPr>
        <w:footnoteReference w:id="12"/>
      </w:r>
      <w:r>
        <w:rPr>
          <w:rFonts w:ascii="Times New Roman" w:hAnsi="Times New Roman"/>
          <w:sz w:val="24"/>
          <w:szCs w:val="24"/>
        </w:rPr>
        <w:t xml:space="preserve"> и надлежащего предоставл</w:t>
      </w:r>
      <w:r>
        <w:rPr>
          <w:rFonts w:ascii="Times New Roman" w:hAnsi="Times New Roman"/>
          <w:sz w:val="24"/>
          <w:szCs w:val="24"/>
        </w:rPr>
        <w:t xml:space="preserve">ения договора страхования.</w:t>
      </w:r>
      <w:r>
        <w:rPr>
          <w:rFonts w:ascii="Times New Roman" w:hAnsi="Times New Roman"/>
          <w:iCs/>
          <w:sz w:val="24"/>
          <w:szCs w:val="24"/>
        </w:rPr>
      </w:r>
      <w:r>
        <w:rPr>
          <w:rFonts w:ascii="Times New Roman" w:hAnsi="Times New Roman"/>
          <w:iCs/>
          <w:sz w:val="24"/>
          <w:szCs w:val="24"/>
        </w:rPr>
      </w:r>
    </w:p>
    <w:p>
      <w:pPr>
        <w:pStyle w:val="1761"/>
        <w:numPr>
          <w:ilvl w:val="1"/>
          <w:numId w:val="32"/>
        </w:numPr>
        <w:ind w:left="0" w:firstLine="851"/>
        <w:jc w:val="both"/>
        <w:spacing w:after="0" w:line="240" w:lineRule="auto"/>
        <w:rPr>
          <w:rFonts w:ascii="Times New Roman" w:hAnsi="Times New Roman"/>
          <w:iCs/>
          <w:sz w:val="24"/>
          <w:szCs w:val="24"/>
        </w:rPr>
      </w:pPr>
      <w:r>
        <w:rPr>
          <w:rFonts w:ascii="Times New Roman" w:hAnsi="Times New Roman"/>
          <w:sz w:val="24"/>
          <w:szCs w:val="24"/>
        </w:rPr>
        <w:t xml:space="preserve">Перечисление авансовых платежей Подрядчику допускается, только если сумма непогашенного аванса после перечисления авансового платежа не превысит сумму действующего и принятого Заказчиком обеспечения на возврат авансового платежа,</w:t>
      </w:r>
      <w:r>
        <w:rPr>
          <w:rFonts w:ascii="Times New Roman" w:hAnsi="Times New Roman"/>
          <w:sz w:val="24"/>
          <w:szCs w:val="24"/>
        </w:rPr>
        <w:t xml:space="preserve"> в соответствии с пунктом 3.13.</w:t>
      </w:r>
      <w:r>
        <w:rPr>
          <w:rFonts w:ascii="Times New Roman" w:hAnsi="Times New Roman"/>
          <w:iCs/>
          <w:sz w:val="24"/>
          <w:szCs w:val="24"/>
        </w:rPr>
        <w:t xml:space="preserve"> </w:t>
      </w:r>
      <w:r>
        <w:rPr>
          <w:rFonts w:ascii="Times New Roman" w:hAnsi="Times New Roman"/>
          <w:iCs/>
          <w:sz w:val="24"/>
          <w:szCs w:val="24"/>
        </w:rPr>
      </w:r>
      <w:r>
        <w:rPr>
          <w:rFonts w:ascii="Times New Roman" w:hAnsi="Times New Roman"/>
          <w:iCs/>
          <w:sz w:val="24"/>
          <w:szCs w:val="24"/>
        </w:rPr>
      </w:r>
    </w:p>
    <w:p>
      <w:pPr>
        <w:ind w:firstLine="851"/>
        <w:jc w:val="both"/>
        <w:rPr>
          <w:iCs/>
        </w:rPr>
      </w:pPr>
      <w:r>
        <w:rPr>
          <w:iCs/>
        </w:rPr>
        <w:t xml:space="preserve">3.15. Авансовый платеж погашается путем его пропорционального удержания </w:t>
      </w:r>
      <w:r>
        <w:rPr>
          <w:iCs/>
        </w:rPr>
        <w:br/>
        <w:t xml:space="preserve">(в процентном размере согласно п. 3.13) от стоимости выполненных работ</w:t>
      </w:r>
      <w:r>
        <w:rPr>
          <w:iCs/>
        </w:rPr>
        <w:t xml:space="preserve">, поставленного оборудования по Договору из сумм, подлежащих оплате за принятое оборудование, выполненные работы по Договору, после выплаты авансового платежа. Заказчик имеет право в одностороннем порядке изменить порядок, способ и размер погашения авансов</w:t>
      </w:r>
      <w:r>
        <w:rPr>
          <w:iCs/>
        </w:rPr>
        <w:t xml:space="preserve">ого платежа, при котором будет обеспечиваться его полное погашение стоимостью принятых работ, поставленного оборудования по Договору.</w:t>
      </w:r>
      <w:r>
        <w:rPr>
          <w:iCs/>
        </w:rPr>
      </w:r>
      <w:r>
        <w:rPr>
          <w:iCs/>
        </w:rPr>
      </w:r>
    </w:p>
    <w:p>
      <w:pPr>
        <w:ind w:firstLine="708"/>
        <w:jc w:val="both"/>
        <w:rPr>
          <w:lang w:eastAsia="ar-SA"/>
        </w:rPr>
      </w:pPr>
      <w:r>
        <w:t xml:space="preserve">3.16. В случае возникновения факта не полного освоения Подрядчиком авансового платежа по результатам полного выполнения ра</w:t>
      </w:r>
      <w:r>
        <w:t xml:space="preserve">бот по Договору последний в течение 5 (пяти) рабочих дней с момента утверждения Заказчиком Акта приемки законченного строительством объекта, подписанного эксплуатирующей организацией, произвести возврат неосвоенной части авансового платежа Заказчику.</w:t>
      </w:r>
      <w:r>
        <w:rPr>
          <w:lang w:eastAsia="ar-SA"/>
        </w:rPr>
      </w:r>
      <w:r>
        <w:rPr>
          <w:lang w:eastAsia="ar-SA"/>
        </w:rPr>
      </w:r>
    </w:p>
    <w:p>
      <w:pPr>
        <w:ind w:firstLine="851"/>
        <w:jc w:val="both"/>
      </w:pPr>
      <w:r>
        <w:t xml:space="preserve">В слу</w:t>
      </w:r>
      <w:r>
        <w:t xml:space="preserve">чае ненадлежащего исполнения Подрядчиком указанного требования Заказчик удерживает с Подрядчика пени в размере 1% (одного процента) от суммы неосвоенного авансового платежа по Договору за каждый день просрочки до даты фактического исполнения обязательства </w:t>
      </w:r>
      <w:r>
        <w:t xml:space="preserve">по возврату неосвоенного авансового платежа.</w:t>
      </w:r>
      <w:r/>
    </w:p>
    <w:p>
      <w:pPr>
        <w:ind w:firstLine="851"/>
        <w:jc w:val="both"/>
      </w:pPr>
      <w:r>
        <w:t xml:space="preserve">3.17. При нарушении Подрядчиком сроков окончания Работ по Договору, в том числе по этапам, Заказчик вправе требовать от Подрядчика, а Подрядчик обязуется возвратить Заказчику неосвоенную часть авансового платежа</w:t>
      </w:r>
      <w:r>
        <w:t xml:space="preserve"> в течение 5 (пяти) календарных дней с момента получения соответствующего требования Заказчика. В требовании Заказчик указывает фактический размер аванса, подлежащий возврату после погашения в соответствии с условиями Договора.</w:t>
      </w:r>
      <w:r/>
    </w:p>
    <w:p>
      <w:pPr>
        <w:ind w:firstLine="851"/>
        <w:jc w:val="both"/>
      </w:pPr>
      <w:r/>
      <w:r/>
    </w:p>
    <w:p>
      <w:pPr>
        <w:pStyle w:val="1761"/>
        <w:numPr>
          <w:ilvl w:val="0"/>
          <w:numId w:val="32"/>
        </w:numPr>
        <w:jc w:val="center"/>
        <w:rPr>
          <w:rFonts w:ascii="Times New Roman" w:hAnsi="Times New Roman"/>
          <w:b/>
          <w:color w:val="000000"/>
          <w:sz w:val="24"/>
          <w:szCs w:val="24"/>
          <w:highlight w:val="white"/>
        </w:rPr>
      </w:pPr>
      <w:r>
        <w:rPr>
          <w:rFonts w:ascii="Times New Roman" w:hAnsi="Times New Roman"/>
          <w:b/>
          <w:bCs/>
          <w:color w:val="000000"/>
          <w:sz w:val="24"/>
          <w:szCs w:val="24"/>
          <w:highlight w:val="white"/>
        </w:rPr>
        <w:t xml:space="preserve">Права и обязанности Заказчи</w:t>
      </w:r>
      <w:r>
        <w:rPr>
          <w:rFonts w:ascii="Times New Roman" w:hAnsi="Times New Roman"/>
          <w:b/>
          <w:bCs/>
          <w:color w:val="000000"/>
          <w:sz w:val="24"/>
          <w:szCs w:val="24"/>
          <w:highlight w:val="white"/>
        </w:rPr>
        <w:t xml:space="preserve">ка</w:t>
      </w:r>
      <w:r>
        <w:rPr>
          <w:rFonts w:ascii="Times New Roman" w:hAnsi="Times New Roman"/>
          <w:b/>
          <w:color w:val="000000"/>
          <w:sz w:val="24"/>
          <w:szCs w:val="24"/>
          <w:highlight w:val="white"/>
        </w:rPr>
      </w:r>
      <w:r>
        <w:rPr>
          <w:rFonts w:ascii="Times New Roman" w:hAnsi="Times New Roman"/>
          <w:b/>
          <w:color w:val="000000"/>
          <w:sz w:val="24"/>
          <w:szCs w:val="24"/>
          <w:highlight w:val="white"/>
        </w:rPr>
      </w:r>
    </w:p>
    <w:p>
      <w:pPr>
        <w:pStyle w:val="1761"/>
        <w:numPr>
          <w:ilvl w:val="1"/>
          <w:numId w:val="10"/>
        </w:numPr>
        <w:ind w:left="0" w:firstLine="851"/>
        <w:jc w:val="both"/>
        <w:spacing w:after="0" w:line="240" w:lineRule="auto"/>
        <w:widowControl w:val="off"/>
        <w:rPr>
          <w:rFonts w:ascii="Times New Roman" w:hAnsi="Times New Roman"/>
          <w:color w:val="000000"/>
          <w:sz w:val="24"/>
          <w:szCs w:val="24"/>
          <w:highlight w:val="white"/>
        </w:rPr>
      </w:pPr>
      <w:r>
        <w:rPr>
          <w:rFonts w:ascii="Times New Roman" w:hAnsi="Times New Roman"/>
          <w:color w:val="000000"/>
          <w:sz w:val="24"/>
          <w:szCs w:val="24"/>
          <w:highlight w:val="white"/>
        </w:rPr>
      </w:r>
      <w:r>
        <w:rPr>
          <w:rFonts w:ascii="Times New Roman" w:hAnsi="Times New Roman"/>
          <w:sz w:val="24"/>
          <w:szCs w:val="24"/>
          <w:highlight w:val="white"/>
        </w:rPr>
        <w:t xml:space="preserve">Заказчик после подписания договора направляет Подрядчику принятые в Обществе организационно-распорядительные документы в области строительства, в которых содержатся открыты</w:t>
      </w:r>
      <w:r>
        <w:rPr>
          <w:rFonts w:ascii="Times New Roman" w:hAnsi="Times New Roman"/>
          <w:sz w:val="24"/>
          <w:szCs w:val="24"/>
          <w:highlight w:val="white"/>
        </w:rPr>
        <w:t xml:space="preserve">е для третьих лиц сведения, необходимые для выстраивания взаимодействия сторон по Договору. Информация после подписания договора направляется на официальную почту Подрядчика, указанную в реквизитах Договора. Содержание направленных Подрядчику документов оп</w:t>
      </w:r>
      <w:r>
        <w:rPr>
          <w:rFonts w:ascii="Times New Roman" w:hAnsi="Times New Roman"/>
          <w:sz w:val="24"/>
          <w:szCs w:val="24"/>
          <w:highlight w:val="white"/>
        </w:rPr>
        <w:t xml:space="preserve">ределяет обязательственные отношения сторон по исполнению Договора в той части, в которой данные документы прямо определяют правовые положения Подрядчика по отношению к Заказчику (п.2 ст.310 ГК РФ) и имеет приоритет по отношению к иным положениям Договора</w:t>
      </w:r>
      <w:r>
        <w:rPr>
          <w:rFonts w:ascii="Times New Roman" w:hAnsi="Times New Roman"/>
          <w:sz w:val="24"/>
          <w:szCs w:val="24"/>
          <w:highlight w:val="white"/>
        </w:rPr>
        <w:t xml:space="preserve">.</w:t>
      </w:r>
      <w:r>
        <w:rPr>
          <w:rFonts w:ascii="Times New Roman" w:hAnsi="Times New Roman"/>
          <w:color w:val="000000"/>
          <w:sz w:val="24"/>
          <w:szCs w:val="24"/>
          <w:highlight w:val="white"/>
        </w:rPr>
      </w:r>
      <w:r>
        <w:rPr>
          <w:rFonts w:ascii="Times New Roman" w:hAnsi="Times New Roman"/>
          <w:color w:val="000000"/>
          <w:sz w:val="24"/>
          <w:szCs w:val="24"/>
          <w:highlight w:val="white"/>
        </w:rPr>
      </w:r>
    </w:p>
    <w:p>
      <w:pPr>
        <w:pStyle w:val="1761"/>
        <w:numPr>
          <w:ilvl w:val="1"/>
          <w:numId w:val="10"/>
        </w:numPr>
        <w:ind w:left="0" w:firstLine="851"/>
        <w:jc w:val="both"/>
        <w:spacing w:after="0" w:line="240" w:lineRule="auto"/>
        <w:widowControl w:val="off"/>
        <w:rPr>
          <w:rFonts w:ascii="Times New Roman" w:hAnsi="Times New Roman"/>
          <w:color w:val="000000"/>
          <w:sz w:val="24"/>
          <w:szCs w:val="24"/>
          <w:highlight w:val="white"/>
        </w:rPr>
      </w:pPr>
      <w:r>
        <w:rPr>
          <w:rFonts w:ascii="Times New Roman" w:hAnsi="Times New Roman"/>
          <w:color w:val="000000"/>
          <w:sz w:val="24"/>
          <w:szCs w:val="24"/>
          <w:highlight w:val="white"/>
        </w:rPr>
      </w:r>
      <w:r>
        <w:rPr>
          <w:rFonts w:ascii="Times New Roman" w:hAnsi="Times New Roman"/>
          <w:color w:val="000000"/>
          <w:sz w:val="24"/>
          <w:szCs w:val="24"/>
          <w:highlight w:val="white"/>
        </w:rPr>
        <w:t xml:space="preserve">Заказчик открывает ордер, дающий право на производство земляных, ремонтных и отдельных работ, связанных с благоустройством территории Санкт-Петербурга, выдаваемый Государственной административно-технической инс</w:t>
      </w:r>
      <w:r>
        <w:rPr>
          <w:rFonts w:ascii="Times New Roman" w:hAnsi="Times New Roman"/>
          <w:color w:val="000000"/>
          <w:sz w:val="24"/>
          <w:szCs w:val="24"/>
          <w:highlight w:val="white"/>
        </w:rPr>
        <w:t xml:space="preserve">пекцией в целях координации производства указанных работ и контроля за восстановлением нарушенных в ходе производства работ элементов благоустройства (далее ордер ГАТИ) на основании документации, предоставленной Подрядчиком в установленные договором сроки.</w:t>
      </w:r>
      <w:r>
        <w:rPr>
          <w:rFonts w:ascii="Times New Roman" w:hAnsi="Times New Roman"/>
          <w:color w:val="000000"/>
          <w:sz w:val="24"/>
          <w:szCs w:val="24"/>
          <w:highlight w:val="white"/>
        </w:rPr>
      </w:r>
      <w:r>
        <w:rPr>
          <w:rFonts w:ascii="Times New Roman" w:hAnsi="Times New Roman"/>
          <w:color w:val="000000"/>
          <w:sz w:val="24"/>
          <w:szCs w:val="24"/>
          <w:highlight w:val="white"/>
        </w:rPr>
      </w:r>
    </w:p>
    <w:p>
      <w:pPr>
        <w:pStyle w:val="1761"/>
        <w:numPr>
          <w:ilvl w:val="1"/>
          <w:numId w:val="10"/>
        </w:numPr>
        <w:ind w:left="0" w:firstLine="851"/>
        <w:jc w:val="both"/>
        <w:spacing w:after="0" w:line="240" w:lineRule="auto"/>
        <w:widowControl w:val="off"/>
        <w:rPr>
          <w:rFonts w:ascii="Times New Roman" w:hAnsi="Times New Roman"/>
          <w:color w:val="000000"/>
          <w:sz w:val="24"/>
          <w:szCs w:val="24"/>
          <w:highlight w:val="white"/>
        </w:rPr>
      </w:pPr>
      <w:r>
        <w:rPr>
          <w:rFonts w:ascii="Times New Roman" w:hAnsi="Times New Roman"/>
          <w:color w:val="000000"/>
          <w:sz w:val="24"/>
          <w:szCs w:val="24"/>
          <w:highlight w:val="white"/>
        </w:rPr>
      </w:r>
      <w:r>
        <w:rPr>
          <w:rFonts w:ascii="Times New Roman" w:hAnsi="Times New Roman"/>
          <w:color w:val="000000"/>
          <w:sz w:val="24"/>
          <w:szCs w:val="24"/>
          <w:highlight w:val="white"/>
        </w:rPr>
        <w:t xml:space="preserve">Заказчик приостанавливает выполнение работ по Договору, если в процессе их выполнения будет установлена нецелесообразность дальнейшего проведения работ, и не позднее 3 (трех) календарных дней уведомить об этом Подрядчика.</w:t>
      </w:r>
      <w:r>
        <w:rPr>
          <w:rFonts w:ascii="Times New Roman" w:hAnsi="Times New Roman"/>
          <w:color w:val="000000"/>
          <w:sz w:val="24"/>
          <w:szCs w:val="24"/>
          <w:highlight w:val="white"/>
        </w:rPr>
      </w:r>
      <w:r>
        <w:rPr>
          <w:rFonts w:ascii="Times New Roman" w:hAnsi="Times New Roman"/>
          <w:color w:val="000000"/>
          <w:sz w:val="24"/>
          <w:szCs w:val="24"/>
          <w:highlight w:val="white"/>
        </w:rPr>
      </w:r>
    </w:p>
    <w:p>
      <w:pPr>
        <w:numPr>
          <w:ilvl w:val="1"/>
          <w:numId w:val="10"/>
        </w:numPr>
        <w:ind w:left="0" w:firstLine="851"/>
        <w:jc w:val="both"/>
        <w:widowControl w:val="off"/>
        <w:rPr>
          <w:color w:val="000000"/>
          <w:highlight w:val="white"/>
        </w:rPr>
      </w:pPr>
      <w:r>
        <w:rPr>
          <w:color w:val="000000"/>
          <w:highlight w:val="white"/>
        </w:rPr>
      </w:r>
      <w:r>
        <w:rPr>
          <w:rFonts w:ascii="Times New Roman" w:hAnsi="Times New Roman"/>
          <w:color w:val="000000"/>
          <w:sz w:val="24"/>
          <w:szCs w:val="24"/>
          <w:highlight w:val="white"/>
        </w:rPr>
        <w:t xml:space="preserve">Заказчик передает Подрядчику по акту информацию и документы, необходимые для производства работ, имеющиеся в распоряжении Заказчика.</w:t>
      </w:r>
      <w:r>
        <w:rPr>
          <w:color w:val="000000"/>
          <w:highlight w:val="white"/>
        </w:rPr>
      </w:r>
      <w:r>
        <w:rPr>
          <w:color w:val="000000"/>
          <w:highlight w:val="white"/>
        </w:rPr>
      </w:r>
    </w:p>
    <w:p>
      <w:pPr>
        <w:numPr>
          <w:ilvl w:val="1"/>
          <w:numId w:val="10"/>
        </w:numPr>
        <w:ind w:left="0" w:firstLine="851"/>
        <w:jc w:val="both"/>
        <w:widowControl w:val="off"/>
        <w:rPr>
          <w:color w:val="000000"/>
          <w:highlight w:val="white"/>
        </w:rPr>
      </w:pPr>
      <w:r>
        <w:rPr>
          <w:color w:val="000000"/>
          <w:highlight w:val="white"/>
        </w:rPr>
      </w:r>
      <w:r>
        <w:rPr>
          <w:rFonts w:ascii="Times New Roman" w:hAnsi="Times New Roman"/>
          <w:color w:val="000000"/>
          <w:sz w:val="24"/>
          <w:szCs w:val="24"/>
          <w:highlight w:val="white"/>
        </w:rPr>
        <w:t xml:space="preserve">Заказчик утверждает принятую от Подрядчика проектно-сметную документацию «в производство работ»</w:t>
      </w:r>
      <w:r>
        <w:rPr>
          <w:color w:val="000000"/>
          <w:highlight w:val="white"/>
        </w:rPr>
        <w:t xml:space="preserve">.</w:t>
      </w:r>
      <w:r>
        <w:rPr>
          <w:color w:val="000000"/>
          <w:highlight w:val="white"/>
        </w:rPr>
      </w:r>
      <w:r>
        <w:rPr>
          <w:color w:val="000000"/>
          <w:highlight w:val="white"/>
        </w:rPr>
      </w:r>
    </w:p>
    <w:p>
      <w:pPr>
        <w:numPr>
          <w:ilvl w:val="1"/>
          <w:numId w:val="10"/>
        </w:numPr>
        <w:ind w:left="0" w:firstLine="851"/>
        <w:jc w:val="both"/>
        <w:widowControl w:val="off"/>
        <w:rPr>
          <w:color w:val="000000"/>
          <w:highlight w:val="white"/>
        </w:rPr>
      </w:pPr>
      <w:r>
        <w:rPr>
          <w:color w:val="000000"/>
          <w:highlight w:val="white"/>
        </w:rPr>
      </w:r>
      <w:r>
        <w:rPr>
          <w:rFonts w:ascii="Times New Roman" w:hAnsi="Times New Roman"/>
          <w:color w:val="000000"/>
          <w:sz w:val="24"/>
          <w:szCs w:val="24"/>
          <w:highlight w:val="white"/>
        </w:rPr>
        <w:t xml:space="preserve">Заказчик обеспечивает присутствие своего представителя для участия в освидетельствовании и приемке работ у Подрядчика.</w:t>
      </w:r>
      <w:r>
        <w:rPr>
          <w:color w:val="000000"/>
          <w:highlight w:val="white"/>
        </w:rPr>
      </w:r>
      <w:r>
        <w:rPr>
          <w:color w:val="000000"/>
          <w:highlight w:val="white"/>
        </w:rPr>
      </w:r>
    </w:p>
    <w:p>
      <w:pPr>
        <w:numPr>
          <w:ilvl w:val="1"/>
          <w:numId w:val="10"/>
        </w:numPr>
        <w:ind w:left="0" w:firstLine="851"/>
        <w:jc w:val="both"/>
        <w:rPr>
          <w:highlight w:val="white"/>
        </w:rPr>
      </w:pPr>
      <w:r>
        <w:rPr>
          <w:highlight w:val="white"/>
          <w:lang w:eastAsia="ar-SA"/>
        </w:rPr>
      </w:r>
      <w:r>
        <w:rPr>
          <w:rFonts w:ascii="Times New Roman" w:hAnsi="Times New Roman"/>
          <w:color w:val="000000"/>
          <w:sz w:val="24"/>
          <w:szCs w:val="24"/>
          <w:highlight w:val="white"/>
        </w:rPr>
        <w:t xml:space="preserve">Заказчик осуществляет проверочные мероприятия (плановые и внеплановые) по соблюдению требований охраны труда Подрядчиком.</w:t>
      </w:r>
      <w:r>
        <w:rPr>
          <w:highlight w:val="white"/>
        </w:rPr>
      </w:r>
      <w:r>
        <w:rPr>
          <w:highlight w:val="white"/>
        </w:rPr>
      </w:r>
    </w:p>
    <w:p>
      <w:pPr>
        <w:numPr>
          <w:ilvl w:val="1"/>
          <w:numId w:val="10"/>
        </w:numPr>
        <w:ind w:left="0" w:firstLine="851"/>
        <w:jc w:val="both"/>
        <w:widowControl w:val="off"/>
        <w:rPr>
          <w:color w:val="000000"/>
          <w:highlight w:val="white"/>
        </w:rPr>
      </w:pPr>
      <w:r>
        <w:rPr>
          <w:color w:val="000000"/>
          <w:highlight w:val="white"/>
        </w:rPr>
        <w:t xml:space="preserve">Заказчик осуществляет приемку результатов работ, в порядке, предусмотренном</w:t>
      </w:r>
      <w:r>
        <w:rPr>
          <w:color w:val="000000"/>
          <w:highlight w:val="white"/>
        </w:rPr>
        <w:t xml:space="preserve"> Договором.</w:t>
      </w:r>
      <w:r>
        <w:rPr>
          <w:color w:val="000000"/>
          <w:highlight w:val="white"/>
        </w:rPr>
      </w:r>
      <w:r>
        <w:rPr>
          <w:color w:val="000000"/>
          <w:highlight w:val="white"/>
        </w:rPr>
      </w:r>
    </w:p>
    <w:p>
      <w:pPr>
        <w:numPr>
          <w:ilvl w:val="1"/>
          <w:numId w:val="10"/>
        </w:numPr>
        <w:ind w:left="0" w:firstLine="851"/>
        <w:jc w:val="both"/>
        <w:rPr>
          <w:color w:val="000000"/>
          <w:highlight w:val="white"/>
        </w:rPr>
      </w:pPr>
      <w:r>
        <w:rPr>
          <w:color w:val="000000"/>
          <w:highlight w:val="white"/>
        </w:rPr>
      </w:r>
      <w:r>
        <w:rPr>
          <w:rFonts w:ascii="Times New Roman" w:hAnsi="Times New Roman"/>
          <w:color w:val="000000"/>
          <w:sz w:val="24"/>
          <w:szCs w:val="24"/>
          <w:highlight w:val="white"/>
        </w:rPr>
        <w:t xml:space="preserve">Заказчик оплачивает работы в соответствии с условиями Договора.</w:t>
      </w:r>
      <w:r>
        <w:rPr>
          <w:color w:val="000000"/>
          <w:highlight w:val="white"/>
        </w:rPr>
      </w:r>
      <w:r>
        <w:rPr>
          <w:color w:val="000000"/>
          <w:highlight w:val="white"/>
        </w:rPr>
      </w:r>
    </w:p>
    <w:p>
      <w:pPr>
        <w:numPr>
          <w:ilvl w:val="1"/>
          <w:numId w:val="10"/>
        </w:numPr>
        <w:ind w:left="0" w:firstLine="851"/>
        <w:jc w:val="both"/>
        <w:widowControl w:val="off"/>
        <w:rPr>
          <w:color w:val="000000"/>
          <w:highlight w:val="white"/>
        </w:rPr>
      </w:pPr>
      <w:r>
        <w:rPr>
          <w:color w:val="000000"/>
          <w:highlight w:val="white"/>
        </w:rPr>
      </w:r>
      <w:r>
        <w:rPr>
          <w:rFonts w:ascii="Times New Roman" w:hAnsi="Times New Roman"/>
          <w:color w:val="000000"/>
          <w:sz w:val="24"/>
          <w:szCs w:val="24"/>
          <w:highlight w:val="white"/>
        </w:rPr>
        <w:t xml:space="preserve">Заказчик, при необходимости, предоставляет Подрядчику необходимые давальческие материалы и/или оборудование, номенклатура и количество которых определяются в Техническом задании, при этом Сторонами оформляется дополнительное соглашение к Договору.</w:t>
      </w:r>
      <w:r>
        <w:rPr>
          <w:color w:val="000000"/>
          <w:highlight w:val="white"/>
        </w:rPr>
      </w:r>
      <w:r>
        <w:rPr>
          <w:color w:val="000000"/>
          <w:highlight w:val="white"/>
        </w:rPr>
      </w:r>
    </w:p>
    <w:p>
      <w:pPr>
        <w:pStyle w:val="1761"/>
        <w:numPr>
          <w:ilvl w:val="1"/>
          <w:numId w:val="47"/>
        </w:numPr>
        <w:ind w:left="0" w:firstLine="851"/>
        <w:jc w:val="both"/>
        <w:spacing w:after="0" w:line="240" w:lineRule="auto"/>
        <w:widowControl w:val="off"/>
        <w:rPr>
          <w:rFonts w:ascii="Times New Roman" w:hAnsi="Times New Roman"/>
          <w:color w:val="000000"/>
          <w:sz w:val="24"/>
          <w:szCs w:val="24"/>
          <w:highlight w:val="white"/>
        </w:rPr>
      </w:pPr>
      <w:r>
        <w:rPr>
          <w:rFonts w:ascii="Times New Roman" w:hAnsi="Times New Roman"/>
          <w:color w:val="000000"/>
          <w:sz w:val="24"/>
          <w:szCs w:val="24"/>
          <w:highlight w:val="white"/>
        </w:rPr>
      </w:r>
      <w:r>
        <w:rPr>
          <w:rFonts w:ascii="Times New Roman" w:hAnsi="Times New Roman"/>
          <w:color w:val="000000"/>
          <w:sz w:val="24"/>
          <w:szCs w:val="24"/>
          <w:highlight w:val="white"/>
        </w:rPr>
        <w:t xml:space="preserve">Заказчик в рамках контроля за работами, связанными с нарушением благоустройства, вправе осуществлять проверки соблюдения Подрядчиком требований законодательства. Проверки проводятся в следующем порядке:</w:t>
      </w:r>
      <w:r>
        <w:rPr>
          <w:rFonts w:ascii="Times New Roman" w:hAnsi="Times New Roman"/>
          <w:color w:val="000000"/>
          <w:sz w:val="24"/>
          <w:szCs w:val="24"/>
          <w:highlight w:val="white"/>
        </w:rPr>
      </w:r>
      <w:r>
        <w:rPr>
          <w:rFonts w:ascii="Times New Roman" w:hAnsi="Times New Roman"/>
          <w:color w:val="000000"/>
          <w:sz w:val="24"/>
          <w:szCs w:val="24"/>
          <w:highlight w:val="white"/>
        </w:rPr>
      </w:r>
    </w:p>
    <w:p>
      <w:pPr>
        <w:pStyle w:val="1761"/>
        <w:numPr>
          <w:ilvl w:val="0"/>
          <w:numId w:val="48"/>
        </w:numPr>
        <w:ind w:left="0" w:firstLine="850"/>
        <w:jc w:val="both"/>
        <w:spacing w:after="0" w:line="240" w:lineRule="auto"/>
        <w:widowControl w:val="off"/>
        <w:rPr>
          <w:highlight w:val="white"/>
        </w:rPr>
      </w:pPr>
      <w:r>
        <w:rPr>
          <w:rFonts w:ascii="Times New Roman" w:hAnsi="Times New Roman"/>
          <w:color w:val="000000"/>
          <w:sz w:val="24"/>
          <w:szCs w:val="24"/>
          <w:highlight w:val="white"/>
        </w:rPr>
        <w:t xml:space="preserve">Заказчик выбирает дату и объект проверки на основе сведений о начале производства работ;</w:t>
      </w:r>
      <w:r>
        <w:rPr>
          <w:highlight w:val="white"/>
        </w:rPr>
      </w:r>
      <w:r>
        <w:rPr>
          <w:highlight w:val="white"/>
        </w:rPr>
      </w:r>
    </w:p>
    <w:p>
      <w:pPr>
        <w:pStyle w:val="1761"/>
        <w:numPr>
          <w:ilvl w:val="0"/>
          <w:numId w:val="48"/>
        </w:numPr>
        <w:ind w:left="0" w:firstLine="850"/>
        <w:jc w:val="both"/>
        <w:spacing w:after="0" w:line="240" w:lineRule="auto"/>
        <w:widowControl w:val="off"/>
        <w:rPr>
          <w:highlight w:val="white"/>
        </w:rPr>
      </w:pPr>
      <w:r>
        <w:rPr>
          <w:rFonts w:ascii="Times New Roman" w:hAnsi="Times New Roman"/>
          <w:color w:val="000000"/>
          <w:sz w:val="24"/>
          <w:szCs w:val="24"/>
          <w:highlight w:val="white"/>
        </w:rPr>
        <w:t xml:space="preserve">Заказчик не позже, чем за 1 час до проверки, направляет уведомление Подрядчику о месте и дате проверки на электронный адрес Подрядчика, указанный в приложении к договору либо в официальном письме с реквизитами;</w:t>
      </w:r>
      <w:r>
        <w:rPr>
          <w:highlight w:val="white"/>
        </w:rPr>
      </w:r>
      <w:r>
        <w:rPr>
          <w:highlight w:val="white"/>
        </w:rPr>
      </w:r>
    </w:p>
    <w:p>
      <w:pPr>
        <w:pStyle w:val="1590"/>
        <w:numPr>
          <w:ilvl w:val="0"/>
          <w:numId w:val="48"/>
        </w:numPr>
        <w:ind w:left="0" w:right="0" w:firstLine="850"/>
        <w:jc w:val="both"/>
        <w:rPr>
          <w:color w:val="000000"/>
          <w:highlight w:val="white"/>
        </w:rPr>
      </w:pPr>
      <w:r>
        <w:rPr>
          <w:rFonts w:ascii="Times New Roman" w:hAnsi="Times New Roman"/>
          <w:color w:val="000000"/>
          <w:sz w:val="24"/>
          <w:szCs w:val="24"/>
          <w:highlight w:val="white"/>
        </w:rPr>
        <w:t xml:space="preserve">Заказчик единоли</w:t>
      </w:r>
      <w:r>
        <w:rPr>
          <w:rFonts w:ascii="Times New Roman" w:hAnsi="Times New Roman"/>
          <w:color w:val="000000"/>
          <w:sz w:val="24"/>
          <w:szCs w:val="24"/>
          <w:highlight w:val="white"/>
        </w:rPr>
        <w:t xml:space="preserve">чно (либо в составе комиссии с участием уполномоченного представителя Подрядчика) составляет по результату проверки отчетный документ с указанием наименования объекта строительства, даты, фактического адреса производства работ (допускается указывать точки </w:t>
      </w:r>
      <w:r>
        <w:rPr>
          <w:rFonts w:ascii="Times New Roman" w:hAnsi="Times New Roman"/>
          <w:color w:val="000000"/>
          <w:sz w:val="24"/>
          <w:szCs w:val="24"/>
          <w:highlight w:val="white"/>
        </w:rPr>
        <w:t xml:space="preserve">геолокации</w:t>
      </w:r>
      <w:r>
        <w:rPr>
          <w:rFonts w:ascii="Times New Roman" w:hAnsi="Times New Roman"/>
          <w:color w:val="000000"/>
          <w:sz w:val="24"/>
          <w:szCs w:val="24"/>
          <w:highlight w:val="white"/>
        </w:rPr>
        <w:t xml:space="preserve"> либо точку на публичной кадастровой карте), вида нарушения и положения нормативного акта, которое нарушено, срока устранения. К акту прикладывается </w:t>
      </w:r>
      <w:r>
        <w:rPr>
          <w:rFonts w:ascii="Times New Roman" w:hAnsi="Times New Roman"/>
          <w:color w:val="000000"/>
          <w:sz w:val="24"/>
          <w:szCs w:val="24"/>
          <w:highlight w:val="white"/>
        </w:rPr>
        <w:t xml:space="preserve">фотофиксация</w:t>
      </w:r>
      <w:r>
        <w:rPr>
          <w:rFonts w:ascii="Times New Roman" w:hAnsi="Times New Roman"/>
          <w:color w:val="000000"/>
          <w:sz w:val="24"/>
          <w:szCs w:val="24"/>
          <w:highlight w:val="white"/>
        </w:rPr>
        <w:t xml:space="preserve"> (с указанием даты и адреса при наличии такой возможности на </w:t>
      </w:r>
      <w:r>
        <w:rPr>
          <w:rFonts w:ascii="Times New Roman" w:hAnsi="Times New Roman"/>
          <w:color w:val="000000"/>
          <w:sz w:val="24"/>
          <w:szCs w:val="24"/>
          <w:highlight w:val="white"/>
        </w:rPr>
        <w:t xml:space="preserve">устройстве фотосъемки).</w:t>
      </w:r>
      <w:r>
        <w:rPr>
          <w:color w:val="000000"/>
          <w:highlight w:val="white"/>
        </w:rPr>
      </w:r>
      <w:r>
        <w:rPr>
          <w:color w:val="000000"/>
          <w:highlight w:val="white"/>
        </w:rPr>
      </w:r>
    </w:p>
    <w:p>
      <w:pPr>
        <w:pStyle w:val="1590"/>
        <w:ind w:left="0" w:right="0" w:firstLine="850"/>
        <w:jc w:val="both"/>
        <w:rPr>
          <w:rFonts w:ascii="Times New Roman" w:hAnsi="Times New Roman"/>
          <w:color w:val="000000"/>
          <w:sz w:val="24"/>
          <w:szCs w:val="24"/>
          <w:highlight w:val="white"/>
          <w14:ligatures w14:val="none"/>
        </w:rPr>
      </w:pPr>
      <w:r>
        <w:rPr>
          <w:color w:val="000000"/>
          <w:sz w:val="24"/>
          <w:szCs w:val="24"/>
          <w:highlight w:val="white"/>
        </w:rPr>
        <w:t xml:space="preserve">4.12.</w:t>
      </w:r>
      <w:r>
        <w:rPr>
          <w:color w:val="000000"/>
          <w:highlight w:val="white"/>
        </w:rPr>
        <w:t xml:space="preserve"> </w:t>
      </w:r>
      <w:r>
        <w:rPr>
          <w:rFonts w:ascii="Times New Roman" w:hAnsi="Times New Roman"/>
          <w:color w:val="000000"/>
          <w:sz w:val="24"/>
          <w:szCs w:val="24"/>
          <w:highlight w:val="white"/>
        </w:rPr>
        <w:t xml:space="preserve">З</w:t>
      </w:r>
      <w:r>
        <w:rPr>
          <w:rFonts w:ascii="Times New Roman" w:hAnsi="Times New Roman"/>
          <w:color w:val="000000"/>
          <w:sz w:val="24"/>
          <w:szCs w:val="24"/>
          <w:highlight w:val="white"/>
        </w:rPr>
        <w:t xml:space="preserve">аказчик направляет подписанный уполномоченным лицом отчетный документ на электронный адрес Подрядчика, указанный в приложении к договору либо в официальном письме с реквизитами. Срок составления отчетного документа не может превышать 3 (трех) рабочих</w:t>
      </w:r>
      <w:r>
        <w:rPr>
          <w:rFonts w:ascii="Times New Roman" w:hAnsi="Times New Roman"/>
          <w:color w:val="000000"/>
          <w:sz w:val="24"/>
          <w:szCs w:val="24"/>
          <w:highlight w:val="white"/>
        </w:rPr>
        <w:t xml:space="preserve"> дней.</w:t>
      </w:r>
      <w:r>
        <w:rPr>
          <w:rFonts w:ascii="Times New Roman" w:hAnsi="Times New Roman"/>
          <w:color w:val="000000"/>
          <w:sz w:val="24"/>
          <w:szCs w:val="24"/>
          <w:highlight w:val="white"/>
          <w14:ligatures w14:val="none"/>
        </w:rPr>
      </w:r>
      <w:r>
        <w:rPr>
          <w:rFonts w:ascii="Times New Roman" w:hAnsi="Times New Roman"/>
          <w:color w:val="000000"/>
          <w:sz w:val="24"/>
          <w:szCs w:val="24"/>
          <w:highlight w:val="white"/>
          <w14:ligatures w14:val="none"/>
        </w:rPr>
      </w:r>
    </w:p>
    <w:p>
      <w:pPr>
        <w:pStyle w:val="1590"/>
        <w:ind w:left="0" w:right="0" w:firstLine="850"/>
        <w:jc w:val="both"/>
        <w:rPr>
          <w:color w:val="000000"/>
          <w:highlight w:val="white"/>
        </w:rPr>
      </w:pPr>
      <w:r>
        <w:rPr>
          <w:rFonts w:ascii="Times New Roman" w:hAnsi="Times New Roman"/>
          <w:color w:val="000000"/>
          <w:sz w:val="24"/>
          <w:szCs w:val="24"/>
          <w:highlight w:val="white"/>
        </w:rPr>
        <w:t xml:space="preserve">4.13. </w:t>
      </w:r>
      <w:r>
        <w:rPr>
          <w:rFonts w:ascii="Times New Roman" w:hAnsi="Times New Roman"/>
          <w:color w:val="000000"/>
          <w:sz w:val="24"/>
          <w:szCs w:val="24"/>
          <w:highlight w:val="white"/>
        </w:rPr>
        <w:t xml:space="preserve">Заказчик в случае выявления</w:t>
      </w:r>
      <w:r>
        <w:rPr>
          <w:rFonts w:ascii="Times New Roman" w:hAnsi="Times New Roman"/>
          <w:color w:val="000000"/>
          <w:sz w:val="24"/>
          <w:szCs w:val="24"/>
          <w:highlight w:val="white"/>
        </w:rPr>
        <w:t xml:space="preserve"> нарушений Подрядчиком требований законодательства в части правил ведения земляных, ремонтных и отдельных работ, связанных с нарушением благоустройства, имеет право применить штрафные санкции, указанные в разделе ответственность сторон настоящего договора.</w:t>
      </w:r>
      <w:r>
        <w:rPr>
          <w:color w:val="000000"/>
          <w:highlight w:val="white"/>
        </w:rPr>
      </w:r>
      <w:r>
        <w:rPr>
          <w:color w:val="000000"/>
          <w:highlight w:val="white"/>
        </w:rPr>
      </w:r>
    </w:p>
    <w:p>
      <w:pPr>
        <w:ind w:firstLine="851"/>
        <w:jc w:val="both"/>
        <w:widowControl w:val="off"/>
        <w:rPr>
          <w:color w:val="000000"/>
          <w:highlight w:val="white"/>
          <w14:ligatures w14:val="none"/>
        </w:rPr>
      </w:pPr>
      <w:r>
        <w:rPr>
          <w:color w:val="000000"/>
          <w:highlight w:val="white"/>
        </w:rPr>
        <w:t xml:space="preserve">4.14. </w:t>
      </w:r>
      <w:r>
        <w:rPr>
          <w:color w:val="000000"/>
          <w:highlight w:val="white"/>
        </w:rPr>
        <w:t xml:space="preserve">В случае предоставле</w:t>
      </w:r>
      <w:r>
        <w:rPr>
          <w:color w:val="000000"/>
          <w:highlight w:val="white"/>
        </w:rPr>
        <w:t xml:space="preserve">ния Заказчиком проектно-сметной документации для внесения изменений в такую документацию, Заказчик передает Подрядчику по акту приема-передачи имеющуюся в распоряжении Заказчика утвержденную проектно-сметную документацию, </w:t>
      </w:r>
      <w:r>
        <w:rPr>
          <w:color w:val="000000"/>
          <w:highlight w:val="white"/>
        </w:rPr>
        <w:t xml:space="preserve">со штампом «в производство работ».</w:t>
      </w:r>
      <w:r>
        <w:rPr>
          <w:color w:val="000000"/>
          <w:highlight w:val="white"/>
          <w14:ligatures w14:val="none"/>
        </w:rPr>
      </w:r>
      <w:r>
        <w:rPr>
          <w:color w:val="000000"/>
          <w:highlight w:val="white"/>
          <w14:ligatures w14:val="none"/>
        </w:rPr>
      </w:r>
    </w:p>
    <w:p>
      <w:pPr>
        <w:ind w:firstLine="851"/>
        <w:jc w:val="both"/>
        <w:widowControl w:val="off"/>
        <w:rPr>
          <w:color w:val="000000"/>
          <w:highlight w:val="white"/>
        </w:rPr>
      </w:pPr>
      <w:r>
        <w:rPr>
          <w:color w:val="000000"/>
          <w:highlight w:val="white"/>
        </w:rPr>
        <w:t xml:space="preserve">4.15.</w:t>
      </w:r>
      <w:r>
        <w:rPr>
          <w:color w:val="000000"/>
          <w:highlight w:val="white"/>
        </w:rPr>
        <w:tab/>
      </w:r>
      <w:r>
        <w:rPr>
          <w:rFonts w:ascii="Times New Roman" w:hAnsi="Times New Roman"/>
          <w:color w:val="000000"/>
          <w:sz w:val="24"/>
          <w:szCs w:val="24"/>
          <w:highlight w:val="white"/>
        </w:rPr>
        <w:t xml:space="preserve">Заказчик вправе в одностороннем порядке вносить изменения в организационно-распорядительные документы, размещенные на сайте Общества по адресу </w:t>
      </w:r>
      <w:hyperlink r:id="rId17" w:tooltip="https://rosseti-lenenergo.ru/tenders/management/." w:history="1">
        <w:r>
          <w:rPr>
            <w:rStyle w:val="1787"/>
            <w:rFonts w:ascii="Times New Roman" w:hAnsi="Times New Roman"/>
            <w:sz w:val="24"/>
            <w:szCs w:val="24"/>
            <w:highlight w:val="white"/>
          </w:rPr>
          <w:t xml:space="preserve">https://rosseti-lenenergo.ru/tenders/management/.</w:t>
        </w:r>
      </w:hyperlink>
      <w:r>
        <w:rPr>
          <w:color w:val="000000"/>
          <w:highlight w:val="white"/>
        </w:rPr>
      </w:r>
      <w:r>
        <w:rPr>
          <w:color w:val="000000"/>
          <w:highlight w:val="white"/>
        </w:rPr>
      </w:r>
    </w:p>
    <w:p>
      <w:pPr>
        <w:ind w:firstLine="851"/>
        <w:jc w:val="both"/>
        <w:widowControl w:val="off"/>
        <w:rPr>
          <w:color w:val="000000"/>
          <w:highlight w:val="white"/>
        </w:rPr>
      </w:pPr>
      <w:r>
        <w:rPr>
          <w:color w:val="000000"/>
          <w:highlight w:val="white"/>
        </w:rPr>
        <w:t xml:space="preserve">4.16.</w:t>
      </w:r>
      <w:r>
        <w:rPr>
          <w:color w:val="000000"/>
          <w:highlight w:val="white"/>
        </w:rPr>
        <w:tab/>
      </w:r>
      <w:r>
        <w:rPr>
          <w:rFonts w:ascii="Times New Roman" w:hAnsi="Times New Roman"/>
          <w:color w:val="000000"/>
          <w:sz w:val="24"/>
          <w:szCs w:val="24"/>
          <w:highlight w:val="white"/>
        </w:rPr>
        <w:t xml:space="preserve">Заказчик при получении уведомления Подрядчика об установлении невозможности исполнения обязательств по договору/техническому заданию в соответствии со сводом общих правил, установленных организ</w:t>
      </w:r>
      <w:r>
        <w:rPr>
          <w:rFonts w:ascii="Times New Roman" w:hAnsi="Times New Roman"/>
          <w:color w:val="000000"/>
          <w:sz w:val="24"/>
          <w:szCs w:val="24"/>
          <w:highlight w:val="white"/>
        </w:rPr>
        <w:t xml:space="preserve">ационно-распорядительными документами Заказчика и размещенных на сайте Общества https://rosseti-lenenergo.ru/tenders/management/, обязан рассмотреть представленные документы в течении 10 рабочих дней и известить Подрядчика о принято управленческом решении.</w:t>
      </w:r>
      <w:r>
        <w:rPr>
          <w:color w:val="000000"/>
          <w:highlight w:val="white"/>
        </w:rPr>
      </w:r>
      <w:r>
        <w:rPr>
          <w:color w:val="000000"/>
          <w:highlight w:val="white"/>
        </w:rPr>
      </w:r>
    </w:p>
    <w:p>
      <w:pPr>
        <w:jc w:val="both"/>
        <w:widowControl w:val="off"/>
        <w:rPr>
          <w:color w:val="000000"/>
        </w:rPr>
      </w:pPr>
      <w:r>
        <w:rPr>
          <w:color w:val="000000"/>
        </w:rPr>
      </w:r>
      <w:r>
        <w:rPr>
          <w:color w:val="000000"/>
        </w:rPr>
      </w:r>
      <w:r>
        <w:rPr>
          <w:color w:val="000000"/>
        </w:rPr>
      </w:r>
    </w:p>
    <w:p>
      <w:pPr>
        <w:pStyle w:val="1761"/>
        <w:numPr>
          <w:ilvl w:val="0"/>
          <w:numId w:val="10"/>
        </w:numPr>
        <w:ind w:left="0"/>
        <w:jc w:val="center"/>
        <w:spacing w:after="0" w:line="240" w:lineRule="auto"/>
        <w:rPr>
          <w:rFonts w:ascii="Times New Roman" w:hAnsi="Times New Roman"/>
          <w:b/>
          <w:bCs/>
          <w:color w:val="000000"/>
          <w:sz w:val="24"/>
          <w:szCs w:val="24"/>
        </w:rPr>
      </w:pPr>
      <w:r>
        <w:rPr>
          <w:rFonts w:ascii="Times New Roman" w:hAnsi="Times New Roman"/>
          <w:b/>
          <w:bCs/>
          <w:color w:val="000000"/>
          <w:sz w:val="24"/>
          <w:szCs w:val="24"/>
        </w:rPr>
        <w:t xml:space="preserve">Права и обязанности Подрядчика</w:t>
      </w:r>
      <w:r>
        <w:rPr>
          <w:rFonts w:ascii="Times New Roman" w:hAnsi="Times New Roman"/>
          <w:b/>
          <w:bCs/>
          <w:color w:val="000000"/>
          <w:sz w:val="24"/>
          <w:szCs w:val="24"/>
        </w:rPr>
      </w:r>
      <w:r>
        <w:rPr>
          <w:rFonts w:ascii="Times New Roman" w:hAnsi="Times New Roman"/>
          <w:b/>
          <w:bCs/>
          <w:color w:val="000000"/>
          <w:sz w:val="24"/>
          <w:szCs w:val="24"/>
        </w:rPr>
      </w:r>
    </w:p>
    <w:p>
      <w:pPr>
        <w:numPr>
          <w:ilvl w:val="1"/>
          <w:numId w:val="2"/>
        </w:numPr>
        <w:ind w:left="0" w:firstLine="851"/>
        <w:jc w:val="both"/>
        <w:shd w:val="clear" w:color="auto" w:fill="ffffff"/>
        <w:widowControl w:val="off"/>
        <w:tabs>
          <w:tab w:val="num" w:pos="0" w:leader="none"/>
          <w:tab w:val="clear" w:pos="1070" w:leader="none"/>
        </w:tabs>
        <w:rPr>
          <w:bCs/>
          <w:iCs/>
          <w:color w:val="000000"/>
        </w:rPr>
      </w:pPr>
      <w:r>
        <w:rPr>
          <w:color w:val="000000"/>
        </w:rPr>
        <w:t xml:space="preserve"> В течение 3 </w:t>
      </w:r>
      <w:r>
        <w:rPr>
          <w:color w:val="000000"/>
        </w:rPr>
        <w:t xml:space="preserve">(трех) календарных дней с момента подписания Договора, письменно сообщить необходимые сведения об ответственном лице Подрядчика </w:t>
      </w:r>
      <w:r>
        <w:rPr>
          <w:color w:val="000000"/>
        </w:rPr>
        <w:br/>
        <w:t xml:space="preserve">для взаимодействия с Заказчиком в ходе исполнения Договора. </w:t>
      </w:r>
      <w:r>
        <w:rPr>
          <w:bCs/>
          <w:iCs/>
          <w:color w:val="000000"/>
        </w:rPr>
      </w:r>
      <w:r>
        <w:rPr>
          <w:bCs/>
          <w:iCs/>
          <w:color w:val="000000"/>
        </w:rPr>
      </w:r>
    </w:p>
    <w:p>
      <w:pPr>
        <w:numPr>
          <w:ilvl w:val="1"/>
          <w:numId w:val="2"/>
        </w:numPr>
        <w:ind w:left="0" w:firstLine="851"/>
        <w:jc w:val="both"/>
        <w:shd w:val="clear" w:color="auto" w:fill="ffffff"/>
        <w:widowControl w:val="off"/>
        <w:tabs>
          <w:tab w:val="num" w:pos="0" w:leader="none"/>
          <w:tab w:val="clear" w:pos="1070" w:leader="none"/>
        </w:tabs>
        <w:rPr>
          <w:bCs/>
          <w:iCs/>
          <w:color w:val="000000"/>
        </w:rPr>
      </w:pPr>
      <w:r>
        <w:rPr>
          <w:color w:val="000000"/>
        </w:rPr>
        <w:t xml:space="preserve">Выполнить предусмотренные Договором работы, обеспечив их надлежаще</w:t>
      </w:r>
      <w:r>
        <w:rPr>
          <w:color w:val="000000"/>
        </w:rPr>
        <w:t xml:space="preserve">е качество в соответствии с согласованными объемами в проектно-сметной документации, требованиями технических регламентов, в сроки, установленные Договором. </w:t>
      </w:r>
      <w:r>
        <w:rPr>
          <w:bCs/>
          <w:iCs/>
        </w:rPr>
        <w:t xml:space="preserve">Минимизировать применение импортного оборудования и материалов при разработке Рабочей документации.</w:t>
      </w:r>
      <w:r>
        <w:rPr>
          <w:color w:val="000000"/>
        </w:rPr>
        <w:t xml:space="preserve"> </w:t>
      </w:r>
      <w:r>
        <w:rPr>
          <w:bCs/>
          <w:iCs/>
          <w:color w:val="000000"/>
        </w:rPr>
        <w:t xml:space="preserve">Привлечение субподрядных организаций допустимо в соответствии с действующим законодательством РФ с письменного согласия Заказчика.</w:t>
      </w:r>
      <w:r>
        <w:rPr>
          <w:color w:val="000000"/>
        </w:rPr>
        <w:t xml:space="preserve"> </w:t>
      </w:r>
      <w:r>
        <w:rPr>
          <w:bCs/>
          <w:iCs/>
          <w:color w:val="000000"/>
        </w:rPr>
      </w:r>
      <w:r>
        <w:rPr>
          <w:bCs/>
          <w:iCs/>
          <w:color w:val="000000"/>
        </w:rPr>
      </w:r>
    </w:p>
    <w:p>
      <w:pPr>
        <w:numPr>
          <w:ilvl w:val="1"/>
          <w:numId w:val="2"/>
        </w:numPr>
        <w:ind w:left="0" w:firstLine="851"/>
        <w:jc w:val="both"/>
        <w:shd w:val="clear" w:color="auto" w:fill="ffffff"/>
        <w:widowControl w:val="off"/>
        <w:tabs>
          <w:tab w:val="num" w:pos="0" w:leader="none"/>
          <w:tab w:val="clear" w:pos="1070" w:leader="none"/>
        </w:tabs>
        <w:rPr>
          <w:bCs/>
          <w:iCs/>
          <w:color w:val="000000"/>
          <w:highlight w:val="white"/>
        </w:rPr>
      </w:pPr>
      <w:r>
        <w:rPr>
          <w:color w:val="000000"/>
        </w:rPr>
        <w:t xml:space="preserve">Самостоятельно собрать исходные данные для составления проектно-сметной документации,</w:t>
      </w:r>
      <w:r>
        <w:rPr>
          <w:color w:val="000000"/>
          <w:highlight w:val="white"/>
        </w:rPr>
        <w:t xml:space="preserve"> согласовать разработанную документаци</w:t>
      </w:r>
      <w:r>
        <w:rPr>
          <w:color w:val="000000"/>
          <w:highlight w:val="white"/>
        </w:rPr>
        <w:t xml:space="preserve">ю с Заказчиком.</w:t>
      </w:r>
      <w:r>
        <w:rPr>
          <w:bCs/>
          <w:iCs/>
          <w:color w:val="000000"/>
          <w:highlight w:val="white"/>
        </w:rPr>
      </w:r>
      <w:r>
        <w:rPr>
          <w:bCs/>
          <w:iCs/>
          <w:color w:val="000000"/>
          <w:highlight w:val="white"/>
        </w:rPr>
      </w:r>
    </w:p>
    <w:p>
      <w:pPr>
        <w:numPr>
          <w:ilvl w:val="1"/>
          <w:numId w:val="2"/>
        </w:numPr>
        <w:ind w:left="0" w:firstLine="851"/>
        <w:jc w:val="both"/>
        <w:shd w:val="clear" w:color="auto" w:fill="ffffff"/>
        <w:widowControl w:val="off"/>
        <w:tabs>
          <w:tab w:val="num" w:pos="0" w:leader="none"/>
          <w:tab w:val="clear" w:pos="1070" w:leader="none"/>
        </w:tabs>
        <w:rPr>
          <w:color w:val="000000"/>
          <w:highlight w:val="white"/>
        </w:rPr>
      </w:pPr>
      <w:r>
        <w:rPr>
          <w:color w:val="000000"/>
          <w:highlight w:val="white"/>
        </w:rPr>
      </w:r>
      <w:r>
        <w:rPr>
          <w:highlight w:val="white"/>
        </w:rPr>
        <w:t xml:space="preserve">Отступления от требований Технического задания, изменения, вносимые в проектную и рабочую документацию в процессе строительства, допускаются только по письменному согласованию с Заказчиком и вносятся с отражением их в исполнительной </w:t>
      </w:r>
      <w:r>
        <w:rPr>
          <w:highlight w:val="white"/>
        </w:rPr>
        <w:t xml:space="preserve">документации, в</w:t>
      </w:r>
      <w:r>
        <w:rPr>
          <w:highlight w:val="white"/>
        </w:rPr>
        <w:t xml:space="preserve"> соответствии с требованиями раздела 7 ГОСТ Р 21.101-2020 «Основные требования к проектной и рабочей документации».</w:t>
      </w:r>
      <w:r>
        <w:rPr>
          <w:color w:val="000000"/>
          <w:highlight w:val="white"/>
        </w:rPr>
      </w:r>
      <w:r>
        <w:rPr>
          <w:color w:val="000000"/>
          <w:highlight w:val="white"/>
        </w:rPr>
      </w:r>
    </w:p>
    <w:p>
      <w:pPr>
        <w:numPr>
          <w:ilvl w:val="1"/>
          <w:numId w:val="2"/>
        </w:numPr>
        <w:ind w:left="0" w:firstLine="851"/>
        <w:jc w:val="both"/>
        <w:shd w:val="clear" w:color="auto" w:fill="ffffff"/>
        <w:widowControl w:val="off"/>
        <w:tabs>
          <w:tab w:val="num" w:pos="0" w:leader="none"/>
          <w:tab w:val="clear" w:pos="1070" w:leader="none"/>
        </w:tabs>
        <w:rPr>
          <w:color w:val="000000"/>
          <w:highlight w:val="white"/>
        </w:rPr>
      </w:pPr>
      <w:r>
        <w:rPr>
          <w:color w:val="000000"/>
          <w:highlight w:val="white"/>
        </w:rPr>
      </w:r>
      <w:r>
        <w:rPr>
          <w:highlight w:val="white"/>
        </w:rPr>
        <w:t xml:space="preserve">Подрядчик согласовывает с Заказчиком заказные спецификации/перечень поставляемых материалов и оборудования </w:t>
      </w:r>
      <w:r>
        <w:rPr>
          <w:highlight w:val="white"/>
        </w:rPr>
        <w:t xml:space="preserve"> рамках исполнения обязательств по Договору.</w:t>
      </w:r>
      <w:r>
        <w:rPr>
          <w:color w:val="000000"/>
          <w:highlight w:val="white"/>
        </w:rPr>
      </w:r>
      <w:r>
        <w:rPr>
          <w:color w:val="000000"/>
          <w:highlight w:val="white"/>
        </w:rPr>
      </w:r>
    </w:p>
    <w:p>
      <w:pPr>
        <w:numPr>
          <w:ilvl w:val="1"/>
          <w:numId w:val="2"/>
        </w:numPr>
        <w:ind w:left="0" w:firstLine="851"/>
        <w:jc w:val="both"/>
        <w:shd w:val="clear" w:color="auto" w:fill="ffffff"/>
        <w:widowControl w:val="off"/>
        <w:tabs>
          <w:tab w:val="num" w:pos="0" w:leader="none"/>
          <w:tab w:val="clear" w:pos="1070" w:leader="none"/>
        </w:tabs>
        <w:rPr>
          <w:color w:val="000000"/>
          <w:highlight w:val="white"/>
        </w:rPr>
      </w:pPr>
      <w:r>
        <w:rPr>
          <w:highlight w:val="white"/>
        </w:rPr>
      </w:r>
      <w:r>
        <w:rPr>
          <w:highlight w:val="white"/>
        </w:rPr>
        <w:t xml:space="preserve">Подрядчик</w:t>
      </w:r>
      <w:r>
        <w:rPr>
          <w:highlight w:val="white"/>
        </w:rPr>
        <w:t xml:space="preserve"> использует полученные от Заказчика и связанные с выполнением работ документы и информацию только для достижения предусмотренных Договором целей. Подрядчик обязуется не разглашать и не передавать их третьим лицам без письменного согласия Заказчика.</w:t>
      </w:r>
      <w:r>
        <w:rPr>
          <w:color w:val="000000"/>
          <w:highlight w:val="white"/>
        </w:rPr>
      </w:r>
      <w:r>
        <w:rPr>
          <w:color w:val="000000"/>
          <w:highlight w:val="white"/>
        </w:rPr>
      </w:r>
    </w:p>
    <w:p>
      <w:pPr>
        <w:numPr>
          <w:ilvl w:val="1"/>
          <w:numId w:val="2"/>
        </w:numPr>
        <w:ind w:left="0" w:firstLine="851"/>
        <w:jc w:val="both"/>
        <w:shd w:val="clear" w:color="auto" w:fill="ffffff"/>
        <w:widowControl w:val="off"/>
        <w:tabs>
          <w:tab w:val="num" w:pos="0" w:leader="none"/>
          <w:tab w:val="clear" w:pos="1070" w:leader="none"/>
        </w:tabs>
        <w:rPr>
          <w:color w:val="000000"/>
          <w:highlight w:val="white"/>
        </w:rPr>
      </w:pPr>
      <w:r>
        <w:rPr>
          <w:highlight w:val="white"/>
        </w:rPr>
      </w:r>
      <w:r>
        <w:rPr>
          <w:highlight w:val="white"/>
        </w:rPr>
        <w:t xml:space="preserve">Подрядчик обязан устранять полученные в ходе выполнения работ замечания/предписания Заказчика /представителя Заказчика, которые в том числе заносятся в общие и специальные журналы работ на объекте, а также иные отступления от условий Договора.</w:t>
      </w:r>
      <w:r>
        <w:rPr>
          <w:color w:val="000000"/>
          <w:highlight w:val="white"/>
        </w:rPr>
      </w:r>
      <w:r>
        <w:rPr>
          <w:color w:val="000000"/>
          <w:highlight w:val="white"/>
        </w:rPr>
      </w:r>
    </w:p>
    <w:p>
      <w:pPr>
        <w:ind w:left="0" w:right="0" w:firstLine="850"/>
        <w:jc w:val="both"/>
        <w:shd w:val="clear" w:color="auto" w:fill="ffffff"/>
        <w:widowControl w:val="off"/>
        <w:tabs>
          <w:tab w:val="num" w:pos="0" w:leader="none"/>
          <w:tab w:val="clear" w:pos="1070" w:leader="none"/>
        </w:tabs>
        <w:rPr>
          <w:color w:val="000000"/>
          <w:highlight w:val="white"/>
        </w:rPr>
      </w:pPr>
      <w:r>
        <w:rPr>
          <w:highlight w:val="white"/>
        </w:rPr>
      </w:r>
      <w:r>
        <w:rPr>
          <w:highlight w:val="white"/>
        </w:rPr>
        <w:t xml:space="preserve">В общем/специальном журнале работ отражаются сведения о выполняемых </w:t>
      </w:r>
      <w:r>
        <w:rPr>
          <w:highlight w:val="white"/>
        </w:rPr>
        <w:t xml:space="preserve">работах в процессе строительства применительно к конструктивным элементам здания, строения или сооружения с указанием осей, рядов, отметок, этажей, ярусов, секций, помещений,</w:t>
      </w:r>
      <w:r>
        <w:rPr>
          <w:highlight w:val="white"/>
        </w:rPr>
        <w:t xml:space="preserve"> где работы выполнялись, с указанием номеров чертежей в рабочей документации. Здесь же фиксируются отступления от рабочей документации (с указанием причин) (выявленные в том числе исполнителем по строительному контролю) и факт их согласования с Заказчиком.</w:t>
      </w:r>
      <w:r>
        <w:rPr>
          <w:color w:val="000000"/>
          <w:highlight w:val="white"/>
        </w:rPr>
      </w:r>
      <w:r>
        <w:rPr>
          <w:color w:val="000000"/>
          <w:highlight w:val="white"/>
        </w:rPr>
      </w:r>
    </w:p>
    <w:p>
      <w:pPr>
        <w:numPr>
          <w:ilvl w:val="1"/>
          <w:numId w:val="2"/>
        </w:numPr>
        <w:ind w:left="0" w:firstLine="851"/>
        <w:jc w:val="both"/>
        <w:shd w:val="clear" w:color="auto" w:fill="ffffff"/>
        <w:widowControl w:val="off"/>
        <w:tabs>
          <w:tab w:val="num" w:pos="0" w:leader="none"/>
          <w:tab w:val="clear" w:pos="1070" w:leader="none"/>
        </w:tabs>
        <w:rPr>
          <w:color w:val="000000"/>
          <w:highlight w:val="white"/>
        </w:rPr>
      </w:pPr>
      <w:r>
        <w:rPr>
          <w:highlight w:val="white"/>
        </w:rPr>
      </w:r>
      <w:r>
        <w:rPr>
          <w:highlight w:val="white"/>
        </w:rPr>
        <w:t xml:space="preserve">Подрядчик в течение дня</w:t>
      </w:r>
      <w:r>
        <w:rPr>
          <w:highlight w:val="white"/>
        </w:rPr>
        <w:t xml:space="preserve"> следующего за днем выполнения работ обязан провести освидетельствование работ, оказывающих влияние на безопасность объекта капитального строительства, а также оказывающих влияние на безопасность строительных конструкций и участков сетей инженерно-техничес</w:t>
      </w:r>
      <w:r>
        <w:rPr>
          <w:highlight w:val="white"/>
        </w:rPr>
        <w:t xml:space="preserve">кого обеспечения, контроль за выполнением которых не может быть проведен после выполнения других работ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w:t>
      </w:r>
      <w:r>
        <w:rPr>
          <w:highlight w:val="white"/>
        </w:rPr>
        <w:t xml:space="preserve">ий и участков сетей инженерно-технического обеспечения. Задержка в представлении к освидетельствованию и приемке результатов выполненных работ не допускается. В случае нарушения сроков вызова представителей Заказчика для осуществления освидетельствования, </w:t>
      </w:r>
      <w:r>
        <w:rPr>
          <w:highlight w:val="white"/>
        </w:rPr>
        <w:t xml:space="preserve">Подрядчик  обязуется</w:t>
      </w:r>
      <w:r>
        <w:rPr>
          <w:highlight w:val="white"/>
        </w:rPr>
        <w:t xml:space="preserve"> оплатить штрафные санкции рассчитанные в соответствии с разделом 8 настоящего Договора.</w:t>
      </w:r>
      <w:r>
        <w:rPr>
          <w:color w:val="000000"/>
          <w:highlight w:val="white"/>
        </w:rPr>
      </w:r>
      <w:r>
        <w:rPr>
          <w:color w:val="000000"/>
          <w:highlight w:val="white"/>
        </w:rPr>
      </w:r>
    </w:p>
    <w:p>
      <w:pPr>
        <w:numPr>
          <w:ilvl w:val="1"/>
          <w:numId w:val="2"/>
        </w:numPr>
        <w:ind w:left="0" w:firstLine="851"/>
        <w:jc w:val="both"/>
        <w:shd w:val="clear" w:color="auto" w:fill="ffffff"/>
        <w:widowControl w:val="off"/>
        <w:tabs>
          <w:tab w:val="num" w:pos="0" w:leader="none"/>
          <w:tab w:val="clear" w:pos="1070" w:leader="none"/>
        </w:tabs>
        <w:rPr>
          <w:color w:val="000000"/>
          <w:highlight w:val="white"/>
        </w:rPr>
      </w:pPr>
      <w:r>
        <w:rPr>
          <w:highlight w:val="white"/>
        </w:rPr>
      </w:r>
      <w:r>
        <w:rPr>
          <w:color w:val="000000"/>
          <w:highlight w:val="white"/>
        </w:rPr>
        <w:t xml:space="preserve">Е</w:t>
      </w:r>
      <w:r>
        <w:rPr>
          <w:color w:val="000000"/>
          <w:highlight w:val="white"/>
        </w:rPr>
        <w:t xml:space="preserve">сли соответствие и качество результата выполненных работ невозможно подтвердить без вскрытия, разборки или повреждения других результатов работ Подрядчик должен предъявить данный результат работ к освидетельствованию и приемке до его фактического закрытия.</w:t>
      </w:r>
      <w:r>
        <w:rPr>
          <w:color w:val="000000"/>
          <w:highlight w:val="white"/>
        </w:rPr>
      </w:r>
      <w:r>
        <w:rPr>
          <w:color w:val="000000"/>
          <w:highlight w:val="white"/>
        </w:rPr>
      </w:r>
    </w:p>
    <w:p>
      <w:pPr>
        <w:numPr>
          <w:ilvl w:val="1"/>
          <w:numId w:val="2"/>
        </w:numPr>
        <w:ind w:left="0" w:firstLine="851"/>
        <w:jc w:val="both"/>
        <w:shd w:val="clear" w:color="auto" w:fill="ffffff"/>
        <w:widowControl w:val="off"/>
        <w:tabs>
          <w:tab w:val="num" w:pos="0" w:leader="none"/>
          <w:tab w:val="clear" w:pos="1070" w:leader="none"/>
        </w:tabs>
        <w:rPr>
          <w:color w:val="000000"/>
          <w:highlight w:val="white"/>
        </w:rPr>
      </w:pPr>
      <w:r>
        <w:rPr>
          <w:highlight w:val="white"/>
        </w:rPr>
      </w:r>
      <w:r>
        <w:rPr>
          <w:highlight w:val="white"/>
        </w:rPr>
        <w:t xml:space="preserve">Подрядчик обязан вести журнал учета выполненных работ (форма № КС-6а).</w:t>
      </w:r>
      <w:r>
        <w:rPr>
          <w:color w:val="000000"/>
          <w:highlight w:val="white"/>
        </w:rPr>
      </w:r>
      <w:r>
        <w:rPr>
          <w:color w:val="000000"/>
          <w:highlight w:val="white"/>
        </w:rPr>
      </w:r>
    </w:p>
    <w:p>
      <w:pPr>
        <w:numPr>
          <w:ilvl w:val="1"/>
          <w:numId w:val="2"/>
        </w:numPr>
        <w:ind w:left="0" w:firstLine="851"/>
        <w:jc w:val="both"/>
        <w:shd w:val="clear" w:color="auto" w:fill="ffffff"/>
        <w:widowControl w:val="off"/>
        <w:tabs>
          <w:tab w:val="num" w:pos="0" w:leader="none"/>
          <w:tab w:val="clear" w:pos="1070" w:leader="none"/>
        </w:tabs>
        <w:rPr>
          <w:color w:val="000000"/>
          <w:highlight w:val="white"/>
        </w:rPr>
      </w:pPr>
      <w:r>
        <w:rPr>
          <w:highlight w:val="white"/>
        </w:rPr>
      </w:r>
      <w:r>
        <w:rPr>
          <w:color w:val="000000"/>
          <w:highlight w:val="white"/>
        </w:rPr>
        <w:t xml:space="preserve">После демонтажа оборудования/материалов Подрядчик обязан сдать демонтируемое оборудование и материалы Заказчику в соответствии с актом о его техническом состоянии по форме М-35 «Акт демонтажных работ».</w:t>
      </w:r>
      <w:r>
        <w:rPr>
          <w:color w:val="000000"/>
          <w:highlight w:val="white"/>
        </w:rPr>
      </w:r>
      <w:r>
        <w:rPr>
          <w:color w:val="000000"/>
          <w:highlight w:val="white"/>
        </w:rPr>
      </w:r>
    </w:p>
    <w:p>
      <w:pPr>
        <w:numPr>
          <w:ilvl w:val="1"/>
          <w:numId w:val="2"/>
        </w:numPr>
        <w:ind w:left="0" w:firstLine="851"/>
        <w:jc w:val="both"/>
        <w:shd w:val="clear" w:color="auto" w:fill="ffffff"/>
        <w:widowControl w:val="off"/>
        <w:tabs>
          <w:tab w:val="num" w:pos="0" w:leader="none"/>
          <w:tab w:val="clear" w:pos="1070" w:leader="none"/>
        </w:tabs>
        <w:rPr>
          <w:color w:val="000000"/>
          <w:highlight w:val="white"/>
        </w:rPr>
      </w:pPr>
      <w:r>
        <w:rPr>
          <w:highlight w:val="white"/>
        </w:rPr>
      </w:r>
      <w:r>
        <w:rPr>
          <w:highlight w:val="white"/>
        </w:rPr>
        <w:t xml:space="preserve">При выполнении работ с использов</w:t>
      </w:r>
      <w:r>
        <w:rPr>
          <w:highlight w:val="white"/>
        </w:rPr>
        <w:t xml:space="preserve">анием материально-технических ресурсов/оборудования, переданных Подрядчику от Заказчика по накладной М-15, Подрядчик после окончания работ обязан, в соответствии с ч.1 ст. 713 ГК РФ, возвратить неиспользованные материально-технические ресурсы/оборудование.</w:t>
      </w:r>
      <w:r>
        <w:rPr>
          <w:color w:val="000000"/>
          <w:highlight w:val="white"/>
        </w:rPr>
      </w:r>
      <w:r>
        <w:rPr>
          <w:color w:val="000000"/>
          <w:highlight w:val="white"/>
        </w:rPr>
      </w:r>
    </w:p>
    <w:p>
      <w:pPr>
        <w:numPr>
          <w:ilvl w:val="1"/>
          <w:numId w:val="2"/>
        </w:numPr>
        <w:ind w:left="0" w:firstLine="851"/>
        <w:jc w:val="both"/>
        <w:shd w:val="clear" w:color="auto" w:fill="ffffff"/>
        <w:widowControl w:val="off"/>
        <w:tabs>
          <w:tab w:val="num" w:pos="0" w:leader="none"/>
          <w:tab w:val="clear" w:pos="1070" w:leader="none"/>
        </w:tabs>
        <w:rPr>
          <w:color w:val="000000"/>
          <w:highlight w:val="white"/>
        </w:rPr>
      </w:pPr>
      <w:r>
        <w:rPr>
          <w:highlight w:val="white"/>
        </w:rPr>
      </w:r>
      <w:r>
        <w:rPr>
          <w:highlight w:val="white"/>
        </w:rPr>
        <w:t xml:space="preserve">Подрядчик осуществляет возврат неиспользованных материально-технических ресурсов/оборудования до подписания акта приемки законченного строительством объекта приемочной комиссией по форме РС-14, либо по форме иного документа, установленного в Договоре.</w:t>
      </w:r>
      <w:r>
        <w:rPr>
          <w:color w:val="000000"/>
          <w:highlight w:val="white"/>
        </w:rPr>
      </w:r>
      <w:r>
        <w:rPr>
          <w:color w:val="000000"/>
          <w:highlight w:val="white"/>
        </w:rPr>
      </w:r>
    </w:p>
    <w:p>
      <w:pPr>
        <w:numPr>
          <w:ilvl w:val="1"/>
          <w:numId w:val="2"/>
        </w:numPr>
        <w:ind w:left="0" w:firstLine="851"/>
        <w:jc w:val="both"/>
        <w:shd w:val="clear" w:color="auto" w:fill="ffffff"/>
        <w:widowControl w:val="off"/>
        <w:tabs>
          <w:tab w:val="num" w:pos="0" w:leader="none"/>
          <w:tab w:val="clear" w:pos="1070" w:leader="none"/>
        </w:tabs>
        <w:rPr>
          <w:color w:val="000000"/>
          <w:highlight w:val="white"/>
        </w:rPr>
      </w:pPr>
      <w:r>
        <w:rPr>
          <w:highlight w:val="white"/>
        </w:rPr>
      </w:r>
      <w:r>
        <w:rPr>
          <w:highlight w:val="white"/>
        </w:rPr>
        <w:t xml:space="preserve">В случае невозврата переданных Заказчиком и не использованных Подрядчиком материально-технических ресурсов/оборудования Подрядчик обязуется выплатить его стоимость в течение 5 (пяти) рабочих дней с момента выставления Заказчиком счета.</w:t>
      </w:r>
      <w:r>
        <w:rPr>
          <w:color w:val="000000"/>
          <w:highlight w:val="white"/>
        </w:rPr>
      </w:r>
      <w:r>
        <w:rPr>
          <w:color w:val="000000"/>
          <w:highlight w:val="white"/>
        </w:rPr>
      </w:r>
    </w:p>
    <w:p>
      <w:pPr>
        <w:numPr>
          <w:ilvl w:val="1"/>
          <w:numId w:val="2"/>
        </w:numPr>
        <w:ind w:left="0" w:firstLine="851"/>
        <w:jc w:val="both"/>
        <w:shd w:val="clear" w:color="auto" w:fill="ffffff"/>
        <w:widowControl w:val="off"/>
        <w:tabs>
          <w:tab w:val="num" w:pos="0" w:leader="none"/>
          <w:tab w:val="clear" w:pos="1070" w:leader="none"/>
        </w:tabs>
        <w:rPr>
          <w:color w:val="000000"/>
          <w:highlight w:val="white"/>
        </w:rPr>
      </w:pPr>
      <w:r>
        <w:rPr>
          <w:highlight w:val="white"/>
        </w:rPr>
      </w:r>
      <w:r>
        <w:rPr>
          <w:highlight w:val="white"/>
        </w:rPr>
        <w:t xml:space="preserve">При работе со строительными отходами руководствоваться нормами, установленными Федеральным законом от 24.06.1998 N 89-ФЗ «Об отходах производства и потребления».</w:t>
      </w:r>
      <w:r>
        <w:rPr>
          <w:color w:val="000000"/>
          <w:highlight w:val="white"/>
        </w:rPr>
      </w:r>
      <w:r>
        <w:rPr>
          <w:color w:val="000000"/>
          <w:highlight w:val="white"/>
        </w:rPr>
      </w:r>
    </w:p>
    <w:p>
      <w:pPr>
        <w:numPr>
          <w:ilvl w:val="1"/>
          <w:numId w:val="2"/>
        </w:numPr>
        <w:ind w:left="0" w:firstLine="851"/>
        <w:jc w:val="both"/>
        <w:shd w:val="clear" w:color="auto" w:fill="ffffff"/>
        <w:widowControl w:val="off"/>
        <w:tabs>
          <w:tab w:val="num" w:pos="0" w:leader="none"/>
          <w:tab w:val="clear" w:pos="1070" w:leader="none"/>
        </w:tabs>
        <w:rPr>
          <w:color w:val="000000"/>
          <w:highlight w:val="white"/>
        </w:rPr>
      </w:pPr>
      <w:r>
        <w:rPr>
          <w:highlight w:val="white"/>
        </w:rPr>
      </w:r>
      <w:r>
        <w:rPr>
          <w:highlight w:val="white"/>
        </w:rPr>
        <w:t xml:space="preserve">Обеспечить уборку строительной площадки и прилегающей к ней пятиметровой зоны, вывоз строительных отходов, чистоту выезжающего транспорта, содержат</w:t>
      </w:r>
      <w:r>
        <w:rPr>
          <w:highlight w:val="white"/>
        </w:rPr>
        <w:t xml:space="preserve">ь в исправном состоянии ограждающие конструкции, а также осуществлять необходимые платежи за пользование природными ресурсами, осуществлять ежеквартальные платежи за негативное воздействие на окружающую среду в соответствии с действующим законодательством.</w:t>
      </w:r>
      <w:r>
        <w:rPr>
          <w:color w:val="000000"/>
          <w:highlight w:val="white"/>
        </w:rPr>
      </w:r>
      <w:r>
        <w:rPr>
          <w:color w:val="000000"/>
          <w:highlight w:val="white"/>
        </w:rPr>
      </w:r>
    </w:p>
    <w:p>
      <w:pPr>
        <w:numPr>
          <w:ilvl w:val="1"/>
          <w:numId w:val="2"/>
        </w:numPr>
        <w:ind w:left="0" w:firstLine="851"/>
        <w:jc w:val="both"/>
        <w:shd w:val="clear" w:color="auto" w:fill="ffffff"/>
        <w:widowControl w:val="off"/>
        <w:tabs>
          <w:tab w:val="num" w:pos="0" w:leader="none"/>
          <w:tab w:val="clear" w:pos="1070" w:leader="none"/>
        </w:tabs>
        <w:rPr>
          <w:color w:val="000000"/>
          <w:highlight w:val="white"/>
        </w:rPr>
      </w:pPr>
      <w:r>
        <w:rPr>
          <w:highlight w:val="white"/>
        </w:rPr>
      </w:r>
      <w:r>
        <w:rPr>
          <w:highlight w:val="white"/>
        </w:rPr>
        <w:t xml:space="preserve">Заключить договоры на транспортировку и размещение (или переработку) отходов, образующихся в процессе строительства, в том числ</w:t>
      </w:r>
      <w:r>
        <w:rPr>
          <w:highlight w:val="white"/>
        </w:rPr>
        <w:t xml:space="preserve">е бытовых отходов, строительных отходов, грунта, загрязненного опасными веществами, излишек грунта, загрязненного опасными веществами и прочих минеральных отходов с организациями, имеющими соответствующие специальные разрешения на данные виды деятельности.</w:t>
      </w:r>
      <w:r>
        <w:rPr>
          <w:color w:val="000000"/>
          <w:highlight w:val="white"/>
        </w:rPr>
      </w:r>
      <w:r>
        <w:rPr>
          <w:color w:val="000000"/>
          <w:highlight w:val="white"/>
        </w:rPr>
      </w:r>
    </w:p>
    <w:p>
      <w:pPr>
        <w:numPr>
          <w:ilvl w:val="1"/>
          <w:numId w:val="2"/>
        </w:numPr>
        <w:ind w:left="0" w:firstLine="851"/>
        <w:jc w:val="both"/>
        <w:shd w:val="clear" w:color="auto" w:fill="ffffff"/>
        <w:widowControl w:val="off"/>
        <w:tabs>
          <w:tab w:val="num" w:pos="0" w:leader="none"/>
          <w:tab w:val="clear" w:pos="1070" w:leader="none"/>
        </w:tabs>
        <w:rPr>
          <w:color w:val="000000"/>
          <w:highlight w:val="white"/>
        </w:rPr>
      </w:pPr>
      <w:r>
        <w:rPr>
          <w:highlight w:val="white"/>
        </w:rPr>
      </w:r>
      <w:r>
        <w:rPr>
          <w:highlight w:val="white"/>
        </w:rPr>
        <w:t xml:space="preserve">При выполнении земляных, ремонтных и отдельных работ, связанных с нарушением благоустройства территорий Санкт-Петербурга, Подрядчик обязуется выполнять требования действующего законодательства, включая, но, не ограничиваясь постановлением </w:t>
      </w:r>
      <w:r>
        <w:rPr>
          <w:highlight w:val="white"/>
        </w:rPr>
        <w:t xml:space="preserve">Правительства Санкт-Петербурга от 06.10.2016 N 875"Об утверждении Правил благоустройства территории Санкт-Петербурга в части, касающейся правил производства земляных, ремонтных и отдельных работ, связанных с благоустрой</w:t>
      </w:r>
      <w:r>
        <w:rPr>
          <w:highlight w:val="white"/>
        </w:rPr>
        <w:t xml:space="preserve">ством территории Санкт-Петербурга" (далее Правила) и постановлением Правительства Санкт-Петербурга от 09.11.2016 N 961 "О Правилах благоустройства территории Санкт-Петербурга и о внесении изменений в некоторые постановления Правительства Санкт-Петербурга".</w:t>
      </w:r>
      <w:r>
        <w:rPr>
          <w:color w:val="000000"/>
          <w:highlight w:val="white"/>
        </w:rPr>
      </w:r>
      <w:r>
        <w:rPr>
          <w:color w:val="000000"/>
          <w:highlight w:val="white"/>
        </w:rPr>
      </w:r>
    </w:p>
    <w:p>
      <w:pPr>
        <w:numPr>
          <w:ilvl w:val="1"/>
          <w:numId w:val="2"/>
        </w:numPr>
        <w:ind w:left="0" w:firstLine="851"/>
        <w:jc w:val="both"/>
        <w:shd w:val="clear" w:color="auto" w:fill="ffffff"/>
        <w:widowControl w:val="off"/>
        <w:tabs>
          <w:tab w:val="num" w:pos="0" w:leader="none"/>
          <w:tab w:val="clear" w:pos="1070" w:leader="none"/>
        </w:tabs>
        <w:rPr>
          <w:color w:val="000000"/>
          <w:highlight w:val="white"/>
        </w:rPr>
      </w:pPr>
      <w:r>
        <w:rPr>
          <w:highlight w:val="white"/>
        </w:rPr>
      </w:r>
      <w:r>
        <w:rPr>
          <w:bCs/>
          <w:iCs/>
          <w:color w:val="000000"/>
          <w:highlight w:val="white"/>
        </w:rPr>
        <w:t xml:space="preserve">При выполнении земляных, ремонтных и отдельных работ, связа</w:t>
      </w:r>
      <w:r>
        <w:rPr>
          <w:bCs/>
          <w:iCs/>
          <w:color w:val="000000"/>
          <w:highlight w:val="white"/>
        </w:rPr>
        <w:t xml:space="preserve">нных с нарушением благоустройства территорий Ленинградской области, Подрядчик обязуется выполнять требования нормативных актов в части установленных правил благоустройства, принятых исполнительными органами государственной власти и местного самоуправления.</w:t>
      </w:r>
      <w:r>
        <w:rPr>
          <w:color w:val="000000"/>
          <w:highlight w:val="white"/>
        </w:rPr>
      </w:r>
      <w:r>
        <w:rPr>
          <w:color w:val="000000"/>
          <w:highlight w:val="white"/>
        </w:rPr>
      </w:r>
    </w:p>
    <w:p>
      <w:pPr>
        <w:numPr>
          <w:ilvl w:val="1"/>
          <w:numId w:val="2"/>
        </w:numPr>
        <w:ind w:left="0" w:firstLine="851"/>
        <w:jc w:val="both"/>
        <w:shd w:val="clear" w:color="auto" w:fill="ffffff"/>
        <w:widowControl w:val="off"/>
        <w:tabs>
          <w:tab w:val="num" w:pos="0" w:leader="none"/>
          <w:tab w:val="clear" w:pos="1070" w:leader="none"/>
        </w:tabs>
        <w:rPr>
          <w:color w:val="000000"/>
          <w:highlight w:val="white"/>
        </w:rPr>
      </w:pPr>
      <w:r>
        <w:rPr>
          <w:highlight w:val="white"/>
        </w:rPr>
      </w:r>
      <w:r>
        <w:rPr>
          <w:bCs/>
          <w:iCs/>
          <w:color w:val="000000"/>
          <w:highlight w:val="white"/>
        </w:rPr>
        <w:t xml:space="preserve">Подрядчик обязан подготовить и направить Заказчику комплект документации в соответствии с требованиями разделов 6 и 7 Правил, связанных с открытием ордеров ГАТИ и постановления Правительства Санкт-Петербурга от 09.11.2016 №996, а также </w:t>
      </w:r>
      <w:r>
        <w:rPr>
          <w:bCs/>
          <w:iCs/>
          <w:color w:val="000000"/>
          <w:highlight w:val="white"/>
        </w:rPr>
        <w:t xml:space="preserve">требованиям действующего законодательства</w:t>
      </w:r>
      <w:r>
        <w:rPr>
          <w:bCs/>
          <w:iCs/>
          <w:color w:val="000000"/>
          <w:highlight w:val="white"/>
        </w:rPr>
        <w:t xml:space="preserve">.</w:t>
      </w:r>
      <w:r>
        <w:rPr>
          <w:color w:val="000000"/>
          <w:highlight w:val="white"/>
        </w:rPr>
      </w:r>
      <w:r>
        <w:rPr>
          <w:color w:val="000000"/>
          <w:highlight w:val="white"/>
        </w:rPr>
      </w:r>
    </w:p>
    <w:p>
      <w:pPr>
        <w:numPr>
          <w:ilvl w:val="1"/>
          <w:numId w:val="69"/>
        </w:numPr>
        <w:ind w:left="0" w:firstLine="851"/>
        <w:jc w:val="both"/>
        <w:shd w:val="clear" w:color="auto" w:fill="ffffff"/>
        <w:widowControl w:val="off"/>
        <w:tabs>
          <w:tab w:val="num" w:pos="0" w:leader="none"/>
          <w:tab w:val="clear" w:pos="1070" w:leader="none"/>
        </w:tabs>
        <w:rPr>
          <w:highlight w:val="white"/>
        </w:rPr>
      </w:pPr>
      <w:r>
        <w:rPr>
          <w:bCs/>
          <w:iCs/>
          <w:color w:val="000000"/>
          <w:highlight w:val="white"/>
        </w:rPr>
        <w:t xml:space="preserve">Подрядчик обяз</w:t>
      </w:r>
      <w:r>
        <w:rPr>
          <w:bCs/>
          <w:iCs/>
          <w:color w:val="000000"/>
          <w:highlight w:val="white"/>
        </w:rPr>
        <w:t xml:space="preserve">ан направить комплект документации для открытия ордера ГАТИ на электронный адрес office@lenenergo.ru и в подразделение Заказчика (департамент сопровождения строительства), уполномоченное на совершение действий по открытию ордера ГАТИ, на электронный адрес </w:t>
      </w:r>
      <w:r>
        <w:rPr>
          <w:bCs/>
          <w:iCs/>
          <w:color w:val="000000"/>
          <w:highlight w:val="white"/>
        </w:rPr>
        <w:t xml:space="preserve">dss@lenenergo.ru .</w:t>
      </w:r>
      <w:r>
        <w:rPr>
          <w:bCs/>
          <w:iCs/>
          <w:color w:val="000000"/>
          <w:highlight w:val="white"/>
        </w:rPr>
        <w:t xml:space="preserve"> Сроки направления комплекта документации в уполномоченное подразделение Заказчика не должны быть ранее чем за три месяца до начала планируемых работ и</w:t>
      </w:r>
      <w:r>
        <w:rPr>
          <w:bCs/>
          <w:iCs/>
          <w:color w:val="000000"/>
          <w:highlight w:val="white"/>
        </w:rPr>
        <w:t xml:space="preserve"> не позднее 20 дней до даты начала работ, которую должен указать Заказчик в заявке на открытие ордера, с учетом срока оформления ордера. В комплект разрешительной документации входит: код работы, включенной в адресную программу ГАТИ (при наличии условий, в</w:t>
      </w:r>
      <w:r>
        <w:rPr>
          <w:bCs/>
          <w:iCs/>
          <w:color w:val="000000"/>
          <w:highlight w:val="white"/>
        </w:rPr>
        <w:t xml:space="preserve">ыданных ГАТИ, до открытия ордера получить согласования по форме ГАТИ с организациями, производящими (планирующими) производство работ, включенных в адресную программу ГАТИ (открытые ордера и ключи)), гарантийный паспорт, схема производства работ в формате </w:t>
      </w:r>
      <w:r>
        <w:rPr>
          <w:bCs/>
          <w:iCs/>
          <w:color w:val="000000"/>
          <w:highlight w:val="white"/>
        </w:rPr>
        <w:t xml:space="preserve">psp</w:t>
      </w:r>
      <w:r>
        <w:rPr>
          <w:bCs/>
          <w:iCs/>
          <w:color w:val="000000"/>
          <w:highlight w:val="white"/>
        </w:rPr>
        <w:t xml:space="preserve">, информация об ответственных на объекте производства работ, порубочные документы (при необходимости), согласования и разрешения комитетов и ведомств (заключение ОПС КГА, разрешение Комитета имущественных отношений), схемы, </w:t>
      </w:r>
      <w:r>
        <w:rPr>
          <w:bCs/>
          <w:iCs/>
          <w:color w:val="000000"/>
          <w:highlight w:val="white"/>
        </w:rPr>
        <w:t xml:space="preserve">фотофиксация</w:t>
      </w:r>
      <w:r>
        <w:rPr>
          <w:bCs/>
          <w:iCs/>
          <w:color w:val="000000"/>
          <w:highlight w:val="white"/>
        </w:rPr>
        <w:t xml:space="preserve"> су</w:t>
      </w:r>
      <w:r>
        <w:rPr>
          <w:bCs/>
          <w:iCs/>
          <w:color w:val="000000"/>
          <w:highlight w:val="white"/>
        </w:rPr>
        <w:t xml:space="preserve">ществующего благоустройства мест, где будут реализовываться проектные решения (съемка выполняется путем обхода трассы с захватом границ зоны производства работ и территорий, прилегающих к зоне производства работ) и иные документы (по требованию Заказчика).</w:t>
      </w:r>
      <w:r>
        <w:rPr>
          <w:highlight w:val="white"/>
        </w:rPr>
      </w:r>
      <w:r>
        <w:rPr>
          <w:highlight w:val="white"/>
        </w:rPr>
      </w:r>
    </w:p>
    <w:p>
      <w:pPr>
        <w:ind w:left="0" w:right="0" w:firstLine="850"/>
        <w:jc w:val="both"/>
        <w:shd w:val="clear" w:color="auto" w:fill="ffffff"/>
        <w:widowControl w:val="off"/>
        <w:tabs>
          <w:tab w:val="num" w:pos="0" w:leader="none"/>
          <w:tab w:val="clear" w:pos="1070" w:leader="none"/>
        </w:tabs>
        <w:rPr>
          <w:color w:val="000000"/>
          <w:highlight w:val="white"/>
        </w:rPr>
      </w:pPr>
      <w:r>
        <w:rPr>
          <w:color w:val="000000"/>
          <w:highlight w:val="white"/>
        </w:rPr>
        <w:t xml:space="preserve">Положения данного пункта относятся к случаям, когда Подрядчик в рамках настоящего договора осуществляет проектирование, в рамках которого получает согласования го</w:t>
      </w:r>
      <w:r>
        <w:rPr>
          <w:color w:val="000000"/>
          <w:highlight w:val="white"/>
        </w:rPr>
        <w:t xml:space="preserve">сударственных органов, которые требуются для открытия ордеров ГАТИ.  В тех случаях, когда проектная документация передается Подрядчику от Заказчика, то сроки предоставления комплекта документов для открытия ордеров ГАТИ могут устанавливаться индивидуально.</w:t>
      </w:r>
      <w:r>
        <w:rPr>
          <w:color w:val="000000"/>
          <w:highlight w:val="white"/>
        </w:rPr>
      </w:r>
      <w:r>
        <w:rPr>
          <w:color w:val="000000"/>
          <w:highlight w:val="white"/>
        </w:rPr>
      </w:r>
    </w:p>
    <w:p>
      <w:pPr>
        <w:numPr>
          <w:ilvl w:val="1"/>
          <w:numId w:val="78"/>
        </w:numPr>
        <w:ind w:left="0" w:firstLine="851"/>
        <w:jc w:val="both"/>
        <w:shd w:val="clear" w:color="auto" w:fill="ffffff"/>
        <w:widowControl w:val="off"/>
        <w:tabs>
          <w:tab w:val="num" w:pos="0" w:leader="none"/>
        </w:tabs>
        <w:rPr>
          <w:bCs/>
          <w:iCs/>
          <w:color w:val="000000"/>
          <w:highlight w:val="white"/>
        </w:rPr>
      </w:pPr>
      <w:r>
        <w:rPr>
          <w:highlight w:val="white"/>
          <w:lang w:eastAsia="ar-SA"/>
        </w:rPr>
      </w:r>
      <w:r>
        <w:rPr>
          <w:bCs/>
          <w:iCs/>
          <w:color w:val="000000"/>
          <w:highlight w:val="white"/>
        </w:rPr>
        <w:t xml:space="preserve">Подрядчик до начала производства работ, связанных с нарушением благоустройства территории, обязан самостоятельно проверять наличие и содержание открытых ордеров ГАТИ на производство работ на общедоступных Интернет ресурсах.</w:t>
      </w:r>
      <w:r>
        <w:rPr>
          <w:bCs/>
          <w:iCs/>
          <w:color w:val="000000"/>
          <w:highlight w:val="white"/>
        </w:rPr>
      </w:r>
      <w:r>
        <w:rPr>
          <w:bCs/>
          <w:iCs/>
          <w:color w:val="000000"/>
          <w:highlight w:val="white"/>
        </w:rPr>
      </w:r>
    </w:p>
    <w:p>
      <w:pPr>
        <w:ind w:left="0" w:right="0" w:firstLine="850"/>
        <w:jc w:val="both"/>
        <w:shd w:val="clear" w:color="auto" w:fill="ffffff"/>
        <w:widowControl w:val="off"/>
        <w:tabs>
          <w:tab w:val="num" w:pos="0" w:leader="none"/>
        </w:tabs>
        <w:rPr>
          <w:color w:val="000000"/>
          <w:highlight w:val="white"/>
        </w:rPr>
      </w:pPr>
      <w:r>
        <w:rPr>
          <w:bCs/>
          <w:iCs/>
          <w:color w:val="000000"/>
          <w:highlight w:val="white"/>
        </w:rPr>
        <w:t xml:space="preserve">5.22.1. </w:t>
      </w:r>
      <w:r>
        <w:rPr>
          <w:sz w:val="24"/>
          <w:szCs w:val="24"/>
          <w:highlight w:val="white"/>
        </w:rPr>
        <w:t xml:space="preserve">Подрядчик до начала производства работ обязан проинформировать о начале п</w:t>
      </w:r>
      <w:r>
        <w:rPr>
          <w:sz w:val="24"/>
          <w:szCs w:val="24"/>
          <w:highlight w:val="white"/>
        </w:rPr>
        <w:t xml:space="preserve">роизводства работ организацию, осуществляющую содержание и техническую эксплуатацию объекта, а также владельцев инженерных сетей и сооружений (при производстве работ в охранных зонах таких объектов)</w:t>
      </w:r>
      <w:r>
        <w:rPr>
          <w:sz w:val="24"/>
          <w:szCs w:val="24"/>
          <w:highlight w:val="white"/>
        </w:rPr>
        <w:t xml:space="preserve">,</w:t>
      </w:r>
      <w:r>
        <w:rPr>
          <w:highlight w:val="white"/>
        </w:rPr>
        <w:t xml:space="preserve"> </w:t>
      </w:r>
      <w:r>
        <w:rPr>
          <w:sz w:val="24"/>
          <w:szCs w:val="24"/>
          <w:highlight w:val="white"/>
        </w:rPr>
        <w:t xml:space="preserve">интересы которых могут быть затронуты в ходе производства работ.</w:t>
      </w:r>
      <w:r>
        <w:rPr>
          <w:color w:val="000000"/>
          <w:highlight w:val="white"/>
        </w:rPr>
      </w:r>
      <w:r>
        <w:rPr>
          <w:color w:val="000000"/>
          <w:highlight w:val="white"/>
        </w:rPr>
      </w:r>
    </w:p>
    <w:p>
      <w:pPr>
        <w:numPr>
          <w:ilvl w:val="1"/>
          <w:numId w:val="78"/>
        </w:numPr>
        <w:ind w:left="0" w:firstLine="851"/>
        <w:jc w:val="both"/>
        <w:shd w:val="clear" w:color="auto" w:fill="ffffff"/>
        <w:widowControl w:val="off"/>
        <w:tabs>
          <w:tab w:val="num" w:pos="0" w:leader="none"/>
        </w:tabs>
        <w:rPr>
          <w:color w:val="000000"/>
          <w:highlight w:val="white"/>
        </w:rPr>
      </w:pPr>
      <w:r>
        <w:rPr>
          <w:highlight w:val="white"/>
          <w:lang w:eastAsia="ar-SA"/>
        </w:rPr>
      </w:r>
      <w:r>
        <w:rPr>
          <w:bCs/>
          <w:iCs/>
          <w:color w:val="000000"/>
          <w:highlight w:val="white"/>
        </w:rPr>
        <w:t xml:space="preserve">В соответствии с Правилами Подрядчик обязан соблюдать следующие требования:</w:t>
      </w:r>
      <w:r>
        <w:rPr>
          <w:bCs/>
          <w:iCs/>
          <w:color w:val="000000"/>
          <w:highlight w:val="white"/>
        </w:rPr>
        <w:t xml:space="preserve"> </w:t>
      </w:r>
      <w:r>
        <w:rPr>
          <w:color w:val="000000"/>
          <w:highlight w:val="white"/>
        </w:rPr>
      </w:r>
      <w:r>
        <w:rPr>
          <w:color w:val="000000"/>
          <w:highlight w:val="white"/>
        </w:rPr>
      </w:r>
    </w:p>
    <w:p>
      <w:pPr>
        <w:ind w:left="0" w:right="0" w:firstLine="850"/>
        <w:jc w:val="both"/>
        <w:shd w:val="clear" w:color="auto" w:fill="ffffff"/>
        <w:widowControl w:val="off"/>
        <w:tabs>
          <w:tab w:val="num" w:pos="0" w:leader="none"/>
          <w:tab w:val="clear" w:pos="1440" w:leader="none"/>
        </w:tabs>
        <w:rPr>
          <w:rFonts w:ascii="Times New Roman" w:hAnsi="Times New Roman"/>
          <w:sz w:val="24"/>
          <w:szCs w:val="24"/>
          <w:highlight w:val="white"/>
        </w:rPr>
      </w:pPr>
      <w:r>
        <w:rPr>
          <w:rFonts w:ascii="Times New Roman" w:hAnsi="Times New Roman"/>
          <w:sz w:val="24"/>
          <w:szCs w:val="24"/>
          <w:highlight w:val="white"/>
        </w:rPr>
      </w:r>
      <w:r>
        <w:rPr>
          <w:color w:val="000000"/>
          <w:highlight w:val="white"/>
        </w:rPr>
        <w:t xml:space="preserve">5.23.1. У</w:t>
      </w:r>
      <w:r>
        <w:rPr>
          <w:color w:val="000000"/>
          <w:highlight w:val="white"/>
        </w:rPr>
        <w:t xml:space="preserve">становить на месте работ информационный щит с указанием вида работ, наименования заказчика, производителя работ и его </w:t>
      </w:r>
      <w:r>
        <w:rPr>
          <w:color w:val="000000"/>
          <w:highlight w:val="white"/>
        </w:rPr>
        <w:t xml:space="preserve">подрядчиков(</w:t>
      </w:r>
      <w:r>
        <w:rPr>
          <w:color w:val="000000"/>
          <w:highlight w:val="white"/>
        </w:rPr>
        <w:t xml:space="preserve">в случае наличия договоров субподряда), сроков начала и окончан</w:t>
      </w:r>
      <w:r>
        <w:rPr>
          <w:color w:val="000000"/>
          <w:highlight w:val="white"/>
        </w:rPr>
        <w:t xml:space="preserve">ия работ, начала и окончания временного ограничения или временного прекращения движения транспортных средств (в случае такого ограничения или прекращения), фамилий, имен, отчеств должностных лиц, ответственных за производство работ, номеров их рабочих теле</w:t>
      </w:r>
      <w:r>
        <w:rPr>
          <w:color w:val="000000"/>
          <w:highlight w:val="white"/>
        </w:rPr>
        <w:t xml:space="preserve">фонов. Не допускается установка и размещение информационного щита со сведениями, не соответствующими действительности (в том числе с указанием истекших сроков работ). Размер информационного щита не менее 1 x 1 м, текст сведений черного цвета на белом фоне.</w:t>
      </w:r>
      <w:r>
        <w:rPr>
          <w:color w:val="000000"/>
          <w:highlight w:val="white"/>
        </w:rPr>
        <w:t xml:space="preserve"> </w:t>
      </w:r>
      <w:r>
        <w:rPr>
          <w:rFonts w:ascii="Times New Roman" w:hAnsi="Times New Roman"/>
          <w:sz w:val="24"/>
          <w:szCs w:val="24"/>
          <w:highlight w:val="white"/>
        </w:rPr>
        <w:t xml:space="preserve">  </w:t>
      </w:r>
      <w:r>
        <w:rPr>
          <w:rFonts w:ascii="Times New Roman" w:hAnsi="Times New Roman"/>
          <w:sz w:val="24"/>
          <w:szCs w:val="24"/>
          <w:highlight w:val="white"/>
        </w:rPr>
      </w:r>
      <w:r>
        <w:rPr>
          <w:rFonts w:ascii="Times New Roman" w:hAnsi="Times New Roman"/>
          <w:sz w:val="24"/>
          <w:szCs w:val="24"/>
          <w:highlight w:val="white"/>
        </w:rPr>
      </w:r>
    </w:p>
    <w:p>
      <w:pPr>
        <w:pStyle w:val="1761"/>
        <w:numPr>
          <w:ilvl w:val="2"/>
          <w:numId w:val="78"/>
        </w:numPr>
        <w:ind w:left="0" w:firstLine="851"/>
        <w:jc w:val="both"/>
        <w:spacing w:after="0" w:line="240" w:lineRule="auto"/>
        <w:shd w:val="clear" w:color="auto" w:fill="ffffff"/>
        <w:widowControl w:val="off"/>
        <w:tabs>
          <w:tab w:val="num" w:pos="1134" w:leader="none"/>
          <w:tab w:val="clear" w:pos="1440" w:leader="none"/>
        </w:tabs>
        <w:rPr>
          <w:rFonts w:ascii="Times New Roman" w:hAnsi="Times New Roman" w:cs="Times New Roman"/>
          <w:sz w:val="24"/>
          <w:szCs w:val="24"/>
          <w:highlight w:val="white"/>
        </w:rPr>
      </w:pPr>
      <w:r>
        <w:rPr>
          <w:rFonts w:ascii="Times New Roman" w:hAnsi="Times New Roman" w:eastAsia="Times New Roman" w:cs="Times New Roman"/>
          <w:sz w:val="24"/>
          <w:szCs w:val="24"/>
          <w:highlight w:val="white"/>
        </w:rPr>
      </w:r>
      <w:r>
        <w:rPr>
          <w:rFonts w:ascii="Times New Roman" w:hAnsi="Times New Roman" w:eastAsia="Times New Roman" w:cs="Times New Roman"/>
          <w:bCs/>
          <w:iCs/>
          <w:color w:val="000000"/>
          <w:sz w:val="24"/>
          <w:szCs w:val="24"/>
          <w:highlight w:val="white"/>
        </w:rPr>
        <w:t xml:space="preserve">О</w:t>
      </w:r>
      <w:r>
        <w:rPr>
          <w:rFonts w:ascii="Times New Roman" w:hAnsi="Times New Roman" w:eastAsia="Times New Roman" w:cs="Times New Roman"/>
          <w:bCs/>
          <w:iCs/>
          <w:color w:val="000000"/>
          <w:sz w:val="24"/>
          <w:szCs w:val="24"/>
          <w:highlight w:val="white"/>
        </w:rPr>
        <w:t xml:space="preserve">градить зону производства работ ограждением, обеспечивающим безопасное движение транспорта и пешеходов, сохранность объектов и элементов благоустройства, входящих в зону производства работ. На углах ограждения, </w:t>
      </w:r>
      <w:r>
        <w:rPr>
          <w:rFonts w:ascii="Times New Roman" w:hAnsi="Times New Roman" w:eastAsia="Times New Roman" w:cs="Times New Roman"/>
          <w:bCs/>
          <w:iCs/>
          <w:color w:val="000000"/>
          <w:sz w:val="24"/>
          <w:szCs w:val="24"/>
          <w:highlight w:val="white"/>
        </w:rPr>
        <w:t xml:space="preserve">перегораживающего (частично или полностью) тротуар или проезжую часть, должна быть сделана вертикальна</w:t>
      </w:r>
      <w:r>
        <w:rPr>
          <w:rFonts w:ascii="Times New Roman" w:hAnsi="Times New Roman" w:eastAsia="Times New Roman" w:cs="Times New Roman"/>
          <w:bCs/>
          <w:iCs/>
          <w:color w:val="000000"/>
          <w:sz w:val="24"/>
          <w:szCs w:val="24"/>
          <w:highlight w:val="white"/>
        </w:rPr>
        <w:t xml:space="preserve">я разметка в соответствии с действующими нормами. Ограждение зон производства работ должно соответствовать требованиям, установленным в приложении №11 к Правилам. Подрядчик обязан содержать ограждения зоны производства работ в чистом и исправном состоянии.</w:t>
      </w:r>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761"/>
        <w:numPr>
          <w:ilvl w:val="2"/>
          <w:numId w:val="78"/>
        </w:numPr>
        <w:ind w:left="0" w:firstLine="851"/>
        <w:jc w:val="both"/>
        <w:spacing w:after="0" w:line="240" w:lineRule="auto"/>
        <w:shd w:val="clear" w:color="auto" w:fill="ffffff"/>
        <w:widowControl w:val="off"/>
        <w:tabs>
          <w:tab w:val="num" w:pos="1134" w:leader="none"/>
          <w:tab w:val="clear" w:pos="1440" w:leader="none"/>
        </w:tabs>
        <w:rPr>
          <w:rFonts w:ascii="Times New Roman" w:hAnsi="Times New Roman" w:cs="Times New Roman"/>
          <w:sz w:val="24"/>
          <w:szCs w:val="24"/>
          <w:highlight w:val="white"/>
        </w:rPr>
      </w:pPr>
      <w:r>
        <w:rPr>
          <w:rFonts w:ascii="Times New Roman" w:hAnsi="Times New Roman" w:eastAsia="Times New Roman" w:cs="Times New Roman"/>
          <w:sz w:val="24"/>
          <w:szCs w:val="24"/>
          <w:highlight w:val="white"/>
        </w:rPr>
      </w:r>
      <w:r>
        <w:rPr>
          <w:rFonts w:ascii="Times New Roman" w:hAnsi="Times New Roman" w:eastAsia="Times New Roman" w:cs="Times New Roman"/>
          <w:bCs/>
          <w:iCs/>
          <w:color w:val="000000"/>
          <w:sz w:val="24"/>
          <w:szCs w:val="24"/>
          <w:highlight w:val="white"/>
        </w:rPr>
        <w:t xml:space="preserve">О</w:t>
      </w:r>
      <w:r>
        <w:rPr>
          <w:rFonts w:ascii="Times New Roman" w:hAnsi="Times New Roman" w:eastAsia="Times New Roman" w:cs="Times New Roman"/>
          <w:bCs/>
          <w:iCs/>
          <w:color w:val="000000"/>
          <w:sz w:val="24"/>
          <w:szCs w:val="24"/>
          <w:highlight w:val="white"/>
        </w:rPr>
        <w:t xml:space="preserve">беспечить сохранность и содержание в исправном состоянии всех временных, межевых, геодезических знаков, а также технических средств организации дорожного движения и их</w:t>
      </w:r>
      <w:r>
        <w:rPr>
          <w:rFonts w:ascii="Times New Roman" w:hAnsi="Times New Roman" w:eastAsia="Times New Roman" w:cs="Times New Roman"/>
          <w:bCs/>
          <w:iCs/>
          <w:color w:val="000000"/>
          <w:sz w:val="24"/>
          <w:szCs w:val="24"/>
          <w:highlight w:val="white"/>
        </w:rPr>
        <w:t xml:space="preserve"> инженерных коммуникаций, находящихся в зоне производства работ и используемых при реализации проекта организации дорожного движения, а также временного ограждения зоны производства работ. В случае повреждения знаков Подрядчик восстанавливает за свой счет.</w:t>
      </w:r>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761"/>
        <w:numPr>
          <w:ilvl w:val="2"/>
          <w:numId w:val="78"/>
        </w:numPr>
        <w:ind w:left="0" w:firstLine="851"/>
        <w:jc w:val="both"/>
        <w:spacing w:after="0" w:line="240" w:lineRule="auto"/>
        <w:shd w:val="clear" w:color="auto" w:fill="ffffff"/>
        <w:widowControl w:val="off"/>
        <w:tabs>
          <w:tab w:val="num" w:pos="1134" w:leader="none"/>
          <w:tab w:val="clear" w:pos="1440" w:leader="none"/>
        </w:tabs>
        <w:rPr>
          <w:rFonts w:ascii="Times New Roman" w:hAnsi="Times New Roman" w:cs="Times New Roman"/>
          <w:sz w:val="24"/>
          <w:szCs w:val="24"/>
          <w:highlight w:val="white"/>
        </w:rPr>
      </w:pPr>
      <w:r>
        <w:rPr>
          <w:rFonts w:ascii="Times New Roman" w:hAnsi="Times New Roman" w:eastAsia="Times New Roman" w:cs="Times New Roman"/>
          <w:sz w:val="24"/>
          <w:szCs w:val="24"/>
          <w:highlight w:val="white"/>
        </w:rPr>
      </w:r>
      <w:r>
        <w:rPr>
          <w:rFonts w:ascii="Times New Roman" w:hAnsi="Times New Roman" w:eastAsia="Times New Roman" w:cs="Times New Roman"/>
          <w:bCs/>
          <w:iCs/>
          <w:color w:val="000000"/>
          <w:sz w:val="24"/>
          <w:szCs w:val="24"/>
          <w:highlight w:val="white"/>
        </w:rPr>
        <w:t xml:space="preserve">П</w:t>
      </w:r>
      <w:r>
        <w:rPr>
          <w:rFonts w:ascii="Times New Roman" w:hAnsi="Times New Roman" w:eastAsia="Times New Roman" w:cs="Times New Roman"/>
          <w:bCs/>
          <w:iCs/>
          <w:color w:val="000000"/>
          <w:sz w:val="24"/>
          <w:szCs w:val="24"/>
          <w:highlight w:val="white"/>
        </w:rPr>
        <w:t xml:space="preserve">олучить распоряжение ГАТИ о временном ограничении (временном прекращении) движения транспортных средств по автомобильным дорогам общего пользования регионального значения в Санкт-Петербурге при необходимости такого ограничения (прекращения).</w:t>
      </w:r>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761"/>
        <w:numPr>
          <w:ilvl w:val="2"/>
          <w:numId w:val="78"/>
        </w:numPr>
        <w:ind w:left="0" w:firstLine="851"/>
        <w:jc w:val="both"/>
        <w:spacing w:after="0" w:line="240" w:lineRule="auto"/>
        <w:shd w:val="clear" w:color="auto" w:fill="ffffff"/>
        <w:widowControl w:val="off"/>
        <w:tabs>
          <w:tab w:val="num" w:pos="1134" w:leader="none"/>
          <w:tab w:val="clear" w:pos="1440" w:leader="none"/>
        </w:tabs>
        <w:rPr>
          <w:rFonts w:ascii="Times New Roman" w:hAnsi="Times New Roman" w:cs="Times New Roman"/>
          <w:sz w:val="24"/>
          <w:szCs w:val="24"/>
          <w:highlight w:val="white"/>
        </w:rPr>
      </w:pPr>
      <w:r>
        <w:rPr>
          <w:rFonts w:ascii="Times New Roman" w:hAnsi="Times New Roman" w:eastAsia="Times New Roman" w:cs="Times New Roman"/>
          <w:sz w:val="24"/>
          <w:szCs w:val="24"/>
          <w:highlight w:val="white"/>
        </w:rPr>
      </w:r>
      <w:r>
        <w:rPr>
          <w:rFonts w:ascii="Times New Roman" w:hAnsi="Times New Roman" w:eastAsia="Times New Roman" w:cs="Times New Roman"/>
          <w:sz w:val="24"/>
          <w:szCs w:val="24"/>
          <w:highlight w:val="white"/>
        </w:rPr>
        <w:t xml:space="preserve"> С</w:t>
      </w:r>
      <w:r>
        <w:rPr>
          <w:rFonts w:ascii="Times New Roman" w:hAnsi="Times New Roman" w:eastAsia="Times New Roman" w:cs="Times New Roman"/>
          <w:bCs/>
          <w:iCs/>
          <w:color w:val="000000"/>
          <w:sz w:val="24"/>
          <w:szCs w:val="24"/>
          <w:highlight w:val="white"/>
        </w:rPr>
        <w:t xml:space="preserve">облюдать порядок и с</w:t>
      </w:r>
      <w:r>
        <w:rPr>
          <w:rFonts w:ascii="Times New Roman" w:hAnsi="Times New Roman" w:eastAsia="Times New Roman" w:cs="Times New Roman"/>
          <w:bCs/>
          <w:iCs/>
          <w:color w:val="000000"/>
          <w:sz w:val="24"/>
          <w:szCs w:val="24"/>
          <w:highlight w:val="white"/>
        </w:rPr>
        <w:t xml:space="preserve">роки временного ограничения (временного прекращения) движения транспортных средств по автомобильным дорогам общего пользования регионального значения в Санкт-Петербурге в соответствии с распоряжением ГАТИ в случае введения такого ограничения (прекращения).</w:t>
      </w:r>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761"/>
        <w:numPr>
          <w:ilvl w:val="2"/>
          <w:numId w:val="78"/>
        </w:numPr>
        <w:ind w:left="0" w:firstLine="851"/>
        <w:jc w:val="both"/>
        <w:spacing w:after="0" w:line="240" w:lineRule="auto"/>
        <w:shd w:val="clear" w:color="auto" w:fill="ffffff"/>
        <w:widowControl w:val="off"/>
        <w:tabs>
          <w:tab w:val="num" w:pos="1134" w:leader="none"/>
          <w:tab w:val="clear" w:pos="1440" w:leader="none"/>
        </w:tabs>
        <w:rPr>
          <w:rFonts w:ascii="Times New Roman" w:hAnsi="Times New Roman" w:eastAsia="Times New Roman" w:cs="Times New Roman"/>
          <w:sz w:val="24"/>
          <w:szCs w:val="24"/>
          <w:highlight w:val="white"/>
        </w:rPr>
      </w:pPr>
      <w:r>
        <w:rPr>
          <w:rFonts w:ascii="Times New Roman" w:hAnsi="Times New Roman" w:eastAsia="Times New Roman" w:cs="Times New Roman"/>
          <w:bCs/>
          <w:iCs/>
          <w:color w:val="000000"/>
          <w:sz w:val="24"/>
          <w:szCs w:val="24"/>
          <w:highlight w:val="white"/>
        </w:rPr>
        <w:t xml:space="preserve">П</w:t>
      </w:r>
      <w:r>
        <w:rPr>
          <w:rFonts w:ascii="Times New Roman" w:hAnsi="Times New Roman" w:eastAsia="Times New Roman" w:cs="Times New Roman"/>
          <w:bCs/>
          <w:iCs/>
          <w:color w:val="000000"/>
          <w:sz w:val="24"/>
          <w:szCs w:val="24"/>
          <w:highlight w:val="white"/>
        </w:rPr>
        <w:t xml:space="preserve">роизводить складирование</w:t>
      </w:r>
      <w:r>
        <w:rPr>
          <w:rFonts w:ascii="Times New Roman" w:hAnsi="Times New Roman" w:eastAsia="Times New Roman" w:cs="Times New Roman"/>
          <w:bCs/>
          <w:iCs/>
          <w:color w:val="000000"/>
          <w:sz w:val="24"/>
          <w:szCs w:val="24"/>
          <w:highlight w:val="white"/>
        </w:rPr>
        <w:t xml:space="preserve"> материалов, оборудования, временное хранение техники и размещение временных зданий и сооружений, а также временное размещение грунта, образовавшегося при производстве земляных работ, в пределах зоны производства работ, установленной ордером ГАТИ, ПОС/ППР.</w:t>
      </w:r>
      <w:r>
        <w:rPr>
          <w:rFonts w:ascii="Times New Roman" w:hAnsi="Times New Roman" w:eastAsia="Times New Roman" w:cs="Times New Roman"/>
          <w:sz w:val="24"/>
          <w:szCs w:val="24"/>
          <w:highlight w:val="white"/>
        </w:rPr>
      </w:r>
      <w:r>
        <w:rPr>
          <w:rFonts w:ascii="Times New Roman" w:hAnsi="Times New Roman" w:eastAsia="Times New Roman" w:cs="Times New Roman"/>
          <w:sz w:val="24"/>
          <w:szCs w:val="24"/>
          <w:highlight w:val="white"/>
        </w:rPr>
      </w:r>
    </w:p>
    <w:p>
      <w:pPr>
        <w:pStyle w:val="1761"/>
        <w:numPr>
          <w:ilvl w:val="2"/>
          <w:numId w:val="78"/>
        </w:numPr>
        <w:ind w:left="0" w:firstLine="851"/>
        <w:jc w:val="both"/>
        <w:spacing w:after="0" w:line="240" w:lineRule="auto"/>
        <w:shd w:val="clear" w:color="auto" w:fill="ffffff"/>
        <w:widowControl w:val="off"/>
        <w:tabs>
          <w:tab w:val="num" w:pos="1134" w:leader="none"/>
          <w:tab w:val="clear" w:pos="1440" w:leader="none"/>
        </w:tabs>
        <w:rPr>
          <w:rFonts w:ascii="Times New Roman" w:hAnsi="Times New Roman" w:cs="Times New Roman"/>
          <w:sz w:val="24"/>
          <w:szCs w:val="24"/>
          <w:highlight w:val="white"/>
        </w:rPr>
      </w:pPr>
      <w:r>
        <w:rPr>
          <w:rFonts w:ascii="Times New Roman" w:hAnsi="Times New Roman" w:eastAsia="Times New Roman" w:cs="Times New Roman"/>
          <w:sz w:val="24"/>
          <w:szCs w:val="24"/>
          <w:highlight w:val="white"/>
        </w:rPr>
      </w:r>
      <w:r>
        <w:rPr>
          <w:rFonts w:ascii="Times New Roman" w:hAnsi="Times New Roman" w:eastAsia="Times New Roman" w:cs="Times New Roman"/>
          <w:sz w:val="24"/>
          <w:szCs w:val="24"/>
          <w:highlight w:val="white"/>
        </w:rPr>
        <w:t xml:space="preserve">П</w:t>
      </w:r>
      <w:r>
        <w:rPr>
          <w:rFonts w:ascii="Times New Roman" w:hAnsi="Times New Roman" w:eastAsia="Times New Roman" w:cs="Times New Roman"/>
          <w:sz w:val="24"/>
          <w:szCs w:val="24"/>
          <w:highlight w:val="white"/>
        </w:rPr>
        <w:t xml:space="preserve">осле завершения работ с временным на</w:t>
      </w:r>
      <w:r>
        <w:rPr>
          <w:rFonts w:ascii="Times New Roman" w:hAnsi="Times New Roman" w:eastAsia="Times New Roman" w:cs="Times New Roman"/>
          <w:sz w:val="24"/>
          <w:szCs w:val="24"/>
          <w:highlight w:val="white"/>
        </w:rPr>
        <w:t xml:space="preserve">р</w:t>
      </w:r>
      <w:r>
        <w:rPr>
          <w:rFonts w:ascii="Times New Roman" w:hAnsi="Times New Roman" w:eastAsia="Times New Roman" w:cs="Times New Roman"/>
          <w:sz w:val="24"/>
          <w:szCs w:val="24"/>
          <w:highlight w:val="white"/>
        </w:rPr>
        <w:t xml:space="preserve">ушением элементов благоустройства в пределах срока действия ордера ГАТИ, выполнить восстановление элементов благоустройства, демонтаж и вывоз временного ограждения и временных сооружений, включая механизмы, материалы, оборудование и иное имущество, а также</w:t>
      </w:r>
      <w:r>
        <w:rPr>
          <w:rFonts w:ascii="Times New Roman" w:hAnsi="Times New Roman" w:eastAsia="Times New Roman" w:cs="Times New Roman"/>
          <w:sz w:val="24"/>
          <w:szCs w:val="24"/>
          <w:highlight w:val="white"/>
        </w:rPr>
        <w:t xml:space="preserve"> </w:t>
      </w:r>
      <w:r>
        <w:rPr>
          <w:rFonts w:ascii="Times New Roman" w:hAnsi="Times New Roman" w:eastAsia="Times New Roman" w:cs="Times New Roman"/>
          <w:sz w:val="24"/>
          <w:szCs w:val="24"/>
          <w:highlight w:val="white"/>
        </w:rPr>
        <w:t xml:space="preserve">вывезти </w:t>
      </w:r>
      <w:r>
        <w:rPr>
          <w:rFonts w:ascii="Times New Roman" w:hAnsi="Times New Roman" w:eastAsia="Times New Roman" w:cs="Times New Roman"/>
          <w:sz w:val="24"/>
          <w:szCs w:val="24"/>
          <w:highlight w:val="white"/>
        </w:rPr>
        <w:t xml:space="preserve">ст</w:t>
      </w:r>
      <w:r>
        <w:rPr>
          <w:rFonts w:ascii="Times New Roman" w:hAnsi="Times New Roman" w:eastAsia="Times New Roman" w:cs="Times New Roman"/>
          <w:sz w:val="24"/>
          <w:szCs w:val="24"/>
          <w:highlight w:val="white"/>
        </w:rPr>
        <w:t xml:space="preserve">роительный мусор.</w:t>
      </w:r>
      <w:r>
        <w:rPr>
          <w:rFonts w:ascii="Times New Roman" w:hAnsi="Times New Roman" w:cs="Times New Roman"/>
          <w:sz w:val="24"/>
          <w:szCs w:val="24"/>
          <w:highlight w:val="white"/>
        </w:rPr>
      </w:r>
      <w:r>
        <w:rPr>
          <w:rFonts w:ascii="Times New Roman" w:hAnsi="Times New Roman" w:cs="Times New Roman"/>
          <w:sz w:val="24"/>
          <w:szCs w:val="24"/>
          <w:highlight w:val="white"/>
        </w:rPr>
      </w:r>
    </w:p>
    <w:p>
      <w:pPr>
        <w:ind w:left="0" w:right="0" w:firstLine="850"/>
        <w:jc w:val="both"/>
        <w:spacing w:after="0" w:line="240" w:lineRule="auto"/>
        <w:shd w:val="clear" w:color="auto" w:fill="ffffff"/>
        <w:widowControl w:val="off"/>
        <w:tabs>
          <w:tab w:val="num" w:pos="1134" w:leader="none"/>
          <w:tab w:val="clear" w:pos="1440" w:leader="none"/>
        </w:tabs>
        <w:rPr>
          <w:rFonts w:ascii="Times New Roman" w:hAnsi="Times New Roman" w:cs="Times New Roman"/>
          <w:sz w:val="24"/>
          <w:szCs w:val="24"/>
          <w:highlight w:val="white"/>
        </w:rPr>
      </w:pPr>
      <w:r>
        <w:rPr>
          <w:rFonts w:ascii="Times New Roman" w:hAnsi="Times New Roman" w:eastAsia="Times New Roman" w:cs="Times New Roman"/>
          <w:sz w:val="24"/>
          <w:szCs w:val="24"/>
          <w:highlight w:val="white"/>
        </w:rPr>
        <w:t xml:space="preserve">Подтверждением восстановления элементов благоустройства является получение Подрядчиком согласований организаций, установленных в разделе 12 Правил, закрытие ордера, прин</w:t>
      </w:r>
      <w:r>
        <w:rPr>
          <w:rFonts w:ascii="Times New Roman" w:hAnsi="Times New Roman" w:eastAsia="Times New Roman" w:cs="Times New Roman"/>
          <w:sz w:val="24"/>
          <w:szCs w:val="24"/>
          <w:highlight w:val="white"/>
        </w:rPr>
        <w:t xml:space="preserve">ятие работ по актам</w:t>
      </w:r>
      <w:r>
        <w:rPr>
          <w:rFonts w:ascii="Times New Roman" w:hAnsi="Times New Roman" w:eastAsia="Times New Roman" w:cs="Times New Roman"/>
          <w:sz w:val="24"/>
          <w:szCs w:val="24"/>
          <w:highlight w:val="white"/>
        </w:rPr>
        <w:t xml:space="preserve">.</w:t>
      </w:r>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761"/>
        <w:numPr>
          <w:ilvl w:val="2"/>
          <w:numId w:val="78"/>
        </w:numPr>
        <w:ind w:left="0" w:firstLine="851"/>
        <w:jc w:val="both"/>
        <w:spacing w:after="0" w:line="240" w:lineRule="auto"/>
        <w:shd w:val="clear" w:color="auto" w:fill="ffffff"/>
        <w:widowControl w:val="off"/>
        <w:tabs>
          <w:tab w:val="num" w:pos="1134" w:leader="none"/>
          <w:tab w:val="clear" w:pos="1440" w:leader="none"/>
        </w:tabs>
        <w:rPr>
          <w:rFonts w:ascii="Times New Roman" w:hAnsi="Times New Roman" w:cs="Times New Roman"/>
          <w:sz w:val="24"/>
          <w:szCs w:val="24"/>
          <w:highlight w:val="white"/>
        </w:rPr>
      </w:pPr>
      <w:r>
        <w:rPr>
          <w:rFonts w:ascii="Times New Roman" w:hAnsi="Times New Roman" w:eastAsia="Times New Roman" w:cs="Times New Roman"/>
          <w:sz w:val="24"/>
          <w:szCs w:val="24"/>
          <w:highlight w:val="white"/>
        </w:rPr>
      </w:r>
      <w:r>
        <w:rPr>
          <w:rFonts w:ascii="Times New Roman" w:hAnsi="Times New Roman" w:eastAsia="Times New Roman" w:cs="Times New Roman"/>
          <w:bCs/>
          <w:iCs/>
          <w:color w:val="000000"/>
          <w:sz w:val="24"/>
          <w:szCs w:val="24"/>
          <w:highlight w:val="white"/>
        </w:rPr>
        <w:t xml:space="preserve">С</w:t>
      </w:r>
      <w:r>
        <w:rPr>
          <w:rFonts w:ascii="Times New Roman" w:hAnsi="Times New Roman" w:eastAsia="Times New Roman" w:cs="Times New Roman"/>
          <w:bCs/>
          <w:iCs/>
          <w:color w:val="000000"/>
          <w:sz w:val="24"/>
          <w:szCs w:val="24"/>
          <w:highlight w:val="white"/>
        </w:rPr>
        <w:t xml:space="preserve">одержать зону производства работ и прилегающую территорию в соответствии с требованиями Правил благоустройства территории Санкт-Петербурга.</w:t>
      </w:r>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761"/>
        <w:numPr>
          <w:ilvl w:val="2"/>
          <w:numId w:val="78"/>
        </w:numPr>
        <w:ind w:left="0" w:firstLine="851"/>
        <w:jc w:val="both"/>
        <w:spacing w:after="0" w:line="240" w:lineRule="auto"/>
        <w:shd w:val="clear" w:color="auto" w:fill="ffffff"/>
        <w:widowControl w:val="off"/>
        <w:tabs>
          <w:tab w:val="num" w:pos="1134" w:leader="none"/>
          <w:tab w:val="clear" w:pos="1440" w:leader="none"/>
        </w:tabs>
        <w:rPr>
          <w:rFonts w:ascii="Times New Roman" w:hAnsi="Times New Roman" w:cs="Times New Roman"/>
          <w:sz w:val="24"/>
          <w:szCs w:val="24"/>
          <w:highlight w:val="white"/>
        </w:rPr>
      </w:pPr>
      <w:r>
        <w:rPr>
          <w:rFonts w:ascii="Times New Roman" w:hAnsi="Times New Roman" w:eastAsia="Times New Roman" w:cs="Times New Roman"/>
          <w:sz w:val="24"/>
          <w:szCs w:val="24"/>
          <w:highlight w:val="white"/>
        </w:rPr>
      </w:r>
      <w:r>
        <w:rPr>
          <w:rFonts w:ascii="Times New Roman" w:hAnsi="Times New Roman" w:eastAsia="Times New Roman" w:cs="Times New Roman"/>
          <w:bCs/>
          <w:iCs/>
          <w:color w:val="000000"/>
          <w:sz w:val="24"/>
          <w:szCs w:val="24"/>
          <w:highlight w:val="white"/>
        </w:rPr>
        <w:t xml:space="preserve">П</w:t>
      </w:r>
      <w:r>
        <w:rPr>
          <w:rFonts w:ascii="Times New Roman" w:hAnsi="Times New Roman" w:eastAsia="Times New Roman" w:cs="Times New Roman"/>
          <w:bCs/>
          <w:iCs/>
          <w:color w:val="000000"/>
          <w:sz w:val="24"/>
          <w:szCs w:val="24"/>
          <w:highlight w:val="white"/>
        </w:rPr>
        <w:t xml:space="preserve">роизводить работы, связанные с нарушением</w:t>
      </w:r>
      <w:r>
        <w:rPr>
          <w:rFonts w:ascii="Times New Roman" w:hAnsi="Times New Roman" w:eastAsia="Times New Roman" w:cs="Times New Roman"/>
          <w:bCs/>
          <w:iCs/>
          <w:color w:val="000000"/>
          <w:sz w:val="24"/>
          <w:szCs w:val="24"/>
          <w:highlight w:val="white"/>
        </w:rPr>
        <w:t xml:space="preserve"> благоустройства территории, только в пределах границ открытого ордера ГАТИ на производство работ. Производство работ, для которых не требуется оформление ордера ГАТИ, осуществляется только при наличии разрешительной документации, согласованной Заказчиком.</w:t>
      </w:r>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761"/>
        <w:numPr>
          <w:ilvl w:val="2"/>
          <w:numId w:val="78"/>
        </w:numPr>
        <w:ind w:left="0" w:firstLine="851"/>
        <w:jc w:val="both"/>
        <w:spacing w:after="0" w:line="240" w:lineRule="auto"/>
        <w:shd w:val="clear" w:color="auto" w:fill="ffffff"/>
        <w:widowControl w:val="off"/>
        <w:tabs>
          <w:tab w:val="num" w:pos="1134" w:leader="none"/>
          <w:tab w:val="clear" w:pos="1440" w:leader="none"/>
        </w:tabs>
        <w:rPr>
          <w:rFonts w:ascii="Times New Roman" w:hAnsi="Times New Roman" w:cs="Times New Roman"/>
          <w:sz w:val="24"/>
          <w:szCs w:val="24"/>
          <w:highlight w:val="white"/>
        </w:rPr>
      </w:pPr>
      <w:r>
        <w:rPr>
          <w:rFonts w:ascii="Times New Roman" w:hAnsi="Times New Roman" w:eastAsia="Times New Roman" w:cs="Times New Roman"/>
          <w:sz w:val="24"/>
          <w:szCs w:val="24"/>
          <w:highlight w:val="white"/>
        </w:rPr>
      </w:r>
      <w:r>
        <w:rPr>
          <w:rFonts w:ascii="Times New Roman" w:hAnsi="Times New Roman" w:eastAsia="Times New Roman" w:cs="Times New Roman"/>
          <w:bCs/>
          <w:iCs/>
          <w:color w:val="000000"/>
          <w:sz w:val="24"/>
          <w:szCs w:val="24"/>
          <w:highlight w:val="white"/>
        </w:rPr>
        <w:t xml:space="preserve">С</w:t>
      </w:r>
      <w:r>
        <w:rPr>
          <w:rFonts w:ascii="Times New Roman" w:hAnsi="Times New Roman" w:eastAsia="Times New Roman" w:cs="Times New Roman"/>
          <w:bCs/>
          <w:iCs/>
          <w:color w:val="000000"/>
          <w:sz w:val="24"/>
          <w:szCs w:val="24"/>
          <w:highlight w:val="white"/>
        </w:rPr>
        <w:t xml:space="preserve">амостоятельно за свой счет нести все расходы, связанные со специальным и или/временными правами на проезд, которые могут ему потребоваться, включая право на въезд на площадку.</w:t>
      </w:r>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761"/>
        <w:numPr>
          <w:ilvl w:val="2"/>
          <w:numId w:val="78"/>
        </w:numPr>
        <w:ind w:left="0" w:firstLine="851"/>
        <w:jc w:val="both"/>
        <w:spacing w:after="0" w:line="240" w:lineRule="auto"/>
        <w:shd w:val="clear" w:color="auto" w:fill="ffffff"/>
        <w:widowControl w:val="off"/>
        <w:tabs>
          <w:tab w:val="num" w:pos="1134" w:leader="none"/>
          <w:tab w:val="clear" w:pos="1440" w:leader="none"/>
        </w:tabs>
        <w:rPr>
          <w:rFonts w:ascii="Times New Roman" w:hAnsi="Times New Roman" w:cs="Times New Roman"/>
          <w:sz w:val="24"/>
          <w:szCs w:val="24"/>
          <w:highlight w:val="white"/>
        </w:rPr>
      </w:pPr>
      <w:r>
        <w:rPr>
          <w:rFonts w:ascii="Times New Roman" w:hAnsi="Times New Roman" w:eastAsia="Times New Roman" w:cs="Times New Roman"/>
          <w:sz w:val="24"/>
          <w:szCs w:val="24"/>
          <w:highlight w:val="white"/>
        </w:rPr>
      </w:r>
      <w:r>
        <w:rPr>
          <w:rFonts w:ascii="Times New Roman" w:hAnsi="Times New Roman" w:eastAsia="Times New Roman" w:cs="Times New Roman"/>
          <w:bCs/>
          <w:iCs/>
          <w:color w:val="000000"/>
          <w:sz w:val="24"/>
          <w:szCs w:val="24"/>
          <w:highlight w:val="white"/>
        </w:rPr>
        <w:t xml:space="preserve">О</w:t>
      </w:r>
      <w:r>
        <w:rPr>
          <w:rFonts w:ascii="Times New Roman" w:hAnsi="Times New Roman" w:eastAsia="Times New Roman" w:cs="Times New Roman"/>
          <w:bCs/>
          <w:iCs/>
          <w:color w:val="000000"/>
          <w:sz w:val="24"/>
          <w:szCs w:val="24"/>
          <w:highlight w:val="white"/>
        </w:rPr>
        <w:t xml:space="preserve">беспечить надлежащие условия эксплуатации не переданных ему на период реконструкции дорог и инженерных сооружений, которые используются им для обеспечения доставки материалов, оборудования и персонала для строительства.</w:t>
      </w:r>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761"/>
        <w:numPr>
          <w:ilvl w:val="2"/>
          <w:numId w:val="78"/>
        </w:numPr>
        <w:ind w:left="0" w:firstLine="851"/>
        <w:jc w:val="both"/>
        <w:spacing w:after="0" w:line="240" w:lineRule="auto"/>
        <w:shd w:val="clear" w:color="auto" w:fill="ffffff"/>
        <w:widowControl w:val="off"/>
        <w:tabs>
          <w:tab w:val="num" w:pos="1134" w:leader="none"/>
          <w:tab w:val="clear" w:pos="1440" w:leader="none"/>
        </w:tabs>
        <w:rPr>
          <w:rFonts w:ascii="Times New Roman" w:hAnsi="Times New Roman" w:cs="Times New Roman"/>
          <w:sz w:val="24"/>
          <w:szCs w:val="24"/>
          <w:highlight w:val="white"/>
        </w:rPr>
      </w:pPr>
      <w:r>
        <w:rPr>
          <w:rFonts w:ascii="Times New Roman" w:hAnsi="Times New Roman" w:eastAsia="Times New Roman" w:cs="Times New Roman"/>
          <w:sz w:val="24"/>
          <w:szCs w:val="24"/>
          <w:highlight w:val="white"/>
        </w:rPr>
      </w:r>
      <w:r>
        <w:rPr>
          <w:rFonts w:ascii="Times New Roman" w:hAnsi="Times New Roman" w:eastAsia="Times New Roman" w:cs="Times New Roman"/>
          <w:bCs/>
          <w:iCs/>
          <w:color w:val="000000"/>
          <w:sz w:val="24"/>
          <w:szCs w:val="24"/>
          <w:highlight w:val="white"/>
        </w:rPr>
        <w:t xml:space="preserve">Д</w:t>
      </w:r>
      <w:r>
        <w:rPr>
          <w:rFonts w:ascii="Times New Roman" w:hAnsi="Times New Roman" w:eastAsia="Times New Roman" w:cs="Times New Roman"/>
          <w:bCs/>
          <w:iCs/>
          <w:color w:val="000000"/>
          <w:sz w:val="24"/>
          <w:szCs w:val="24"/>
          <w:highlight w:val="white"/>
        </w:rPr>
        <w:t xml:space="preserve">о начала установки ограждений/ после окончания работ направить на электронную почту </w:t>
      </w:r>
      <w:r>
        <w:rPr>
          <w:rFonts w:ascii="Times New Roman" w:hAnsi="Times New Roman" w:eastAsia="Times New Roman" w:cs="Times New Roman"/>
          <w:bCs/>
          <w:iCs/>
          <w:color w:val="000000"/>
          <w:sz w:val="24"/>
          <w:szCs w:val="24"/>
          <w:highlight w:val="white"/>
        </w:rPr>
        <w:t xml:space="preserve">dss@lenenergo.ru  в</w:t>
      </w:r>
      <w:r>
        <w:rPr>
          <w:rFonts w:ascii="Times New Roman" w:hAnsi="Times New Roman" w:eastAsia="Times New Roman" w:cs="Times New Roman"/>
          <w:bCs/>
          <w:iCs/>
          <w:color w:val="000000"/>
          <w:sz w:val="24"/>
          <w:szCs w:val="24"/>
          <w:highlight w:val="white"/>
        </w:rPr>
        <w:t xml:space="preserve"> соответствии с методическими рекомендациями к Правилам материалы </w:t>
      </w:r>
      <w:r>
        <w:rPr>
          <w:rFonts w:ascii="Times New Roman" w:hAnsi="Times New Roman" w:eastAsia="Times New Roman" w:cs="Times New Roman"/>
          <w:bCs/>
          <w:iCs/>
          <w:color w:val="000000"/>
          <w:sz w:val="24"/>
          <w:szCs w:val="24"/>
          <w:highlight w:val="white"/>
        </w:rPr>
        <w:t xml:space="preserve">фотофиксации</w:t>
      </w:r>
      <w:r>
        <w:rPr>
          <w:rFonts w:ascii="Times New Roman" w:hAnsi="Times New Roman" w:eastAsia="Times New Roman" w:cs="Times New Roman"/>
          <w:bCs/>
          <w:iCs/>
          <w:color w:val="000000"/>
          <w:sz w:val="24"/>
          <w:szCs w:val="24"/>
          <w:highlight w:val="white"/>
        </w:rPr>
        <w:t xml:space="preserve"> с отметкой о дате и времени с места про</w:t>
      </w:r>
      <w:r>
        <w:rPr>
          <w:rFonts w:ascii="Times New Roman" w:hAnsi="Times New Roman" w:eastAsia="Times New Roman" w:cs="Times New Roman"/>
          <w:bCs/>
          <w:iCs/>
          <w:color w:val="000000"/>
          <w:sz w:val="24"/>
          <w:szCs w:val="24"/>
          <w:highlight w:val="white"/>
        </w:rPr>
        <w:t xml:space="preserve">изводства работ, где в процессе реализации проектных решений будет нарушено/было нарушено соответственно благоустройство (съемка выполняется путем обхода трассы с захватом границ зоны производства работ и территорий, прилегающих к зоне производства работ.</w:t>
      </w:r>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761"/>
        <w:numPr>
          <w:ilvl w:val="1"/>
          <w:numId w:val="78"/>
        </w:numPr>
        <w:ind w:left="0" w:right="0" w:firstLine="850"/>
        <w:jc w:val="both"/>
        <w:spacing w:after="0" w:line="240" w:lineRule="auto"/>
        <w:shd w:val="clear" w:color="auto" w:fill="ffffff"/>
        <w:widowControl w:val="off"/>
        <w:tabs>
          <w:tab w:val="num" w:pos="1134" w:leader="none"/>
          <w:tab w:val="clear" w:pos="1440" w:leader="none"/>
        </w:tabs>
        <w:rPr>
          <w:rFonts w:ascii="Times New Roman" w:hAnsi="Times New Roman" w:cs="Times New Roman"/>
          <w:sz w:val="24"/>
          <w:szCs w:val="24"/>
          <w:highlight w:val="white"/>
        </w:rPr>
      </w:pPr>
      <w:r>
        <w:rPr>
          <w:rFonts w:ascii="Times New Roman" w:hAnsi="Times New Roman" w:eastAsia="Times New Roman" w:cs="Times New Roman"/>
          <w:sz w:val="24"/>
          <w:szCs w:val="24"/>
          <w:highlight w:val="white"/>
        </w:rPr>
      </w:r>
      <w:r>
        <w:rPr>
          <w:rFonts w:ascii="Times New Roman" w:hAnsi="Times New Roman" w:eastAsia="Times New Roman" w:cs="Times New Roman"/>
          <w:bCs/>
          <w:iCs/>
          <w:color w:val="000000"/>
          <w:sz w:val="24"/>
          <w:szCs w:val="24"/>
          <w:highlight w:val="white"/>
        </w:rPr>
        <w:t xml:space="preserve">Для организации строит</w:t>
      </w:r>
      <w:r>
        <w:rPr>
          <w:rFonts w:ascii="Times New Roman" w:hAnsi="Times New Roman" w:eastAsia="Times New Roman" w:cs="Times New Roman"/>
          <w:bCs/>
          <w:iCs/>
          <w:color w:val="000000"/>
          <w:sz w:val="24"/>
          <w:szCs w:val="24"/>
          <w:highlight w:val="white"/>
        </w:rPr>
        <w:t xml:space="preserve">ельно-монтажных работ Подрядчик обязан обеспечить от своего имени получение допусков, разрешений, согласований, также обязан обеспечить заключение от своего имени договоров аренды земельных и лесных участков при прохождении трассы по землям, находящихся в </w:t>
      </w:r>
      <w:r>
        <w:rPr>
          <w:rFonts w:ascii="Times New Roman" w:hAnsi="Times New Roman" w:eastAsia="Times New Roman" w:cs="Times New Roman"/>
          <w:bCs/>
          <w:iCs/>
          <w:color w:val="000000"/>
          <w:sz w:val="24"/>
          <w:szCs w:val="24"/>
          <w:highlight w:val="white"/>
        </w:rPr>
        <w:t xml:space="preserve">государственной или муниципальной </w:t>
      </w:r>
      <w:r>
        <w:rPr>
          <w:rFonts w:ascii="Times New Roman" w:hAnsi="Times New Roman" w:eastAsia="Times New Roman" w:cs="Times New Roman"/>
          <w:bCs/>
          <w:iCs/>
          <w:color w:val="000000"/>
          <w:sz w:val="24"/>
          <w:szCs w:val="24"/>
          <w:highlight w:val="white"/>
        </w:rPr>
        <w:t xml:space="preserve">собственности</w:t>
      </w:r>
      <w:r>
        <w:rPr>
          <w:rFonts w:ascii="Times New Roman" w:hAnsi="Times New Roman" w:eastAsia="Times New Roman" w:cs="Times New Roman"/>
          <w:bCs/>
          <w:iCs/>
          <w:color w:val="000000"/>
          <w:sz w:val="24"/>
          <w:szCs w:val="24"/>
          <w:highlight w:val="white"/>
        </w:rPr>
        <w:t xml:space="preserve"> или получение разрешения на использование земель или земельного участка от уполномоченного органа (если это указано в Техническом задании).</w:t>
      </w:r>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761"/>
        <w:numPr>
          <w:ilvl w:val="1"/>
          <w:numId w:val="78"/>
        </w:numPr>
        <w:ind w:left="0" w:right="0" w:firstLine="850"/>
        <w:jc w:val="both"/>
        <w:spacing w:after="0" w:line="240" w:lineRule="auto"/>
        <w:shd w:val="clear" w:color="auto" w:fill="ffffff"/>
        <w:widowControl w:val="off"/>
        <w:tabs>
          <w:tab w:val="num" w:pos="1134" w:leader="none"/>
          <w:tab w:val="clear" w:pos="1440" w:leader="none"/>
        </w:tabs>
        <w:rPr>
          <w:rFonts w:ascii="Times New Roman" w:hAnsi="Times New Roman" w:cs="Times New Roman"/>
          <w:sz w:val="24"/>
          <w:szCs w:val="24"/>
          <w:highlight w:val="white"/>
        </w:rPr>
      </w:pPr>
      <w:r>
        <w:rPr>
          <w:rFonts w:ascii="Times New Roman" w:hAnsi="Times New Roman" w:eastAsia="Times New Roman" w:cs="Times New Roman"/>
          <w:sz w:val="24"/>
          <w:szCs w:val="24"/>
          <w:highlight w:val="white"/>
        </w:rPr>
      </w:r>
      <w:r>
        <w:rPr>
          <w:rFonts w:ascii="Times New Roman" w:hAnsi="Times New Roman" w:eastAsia="Times New Roman" w:cs="Times New Roman"/>
          <w:bCs/>
          <w:iCs/>
          <w:color w:val="000000"/>
          <w:sz w:val="24"/>
          <w:szCs w:val="24"/>
          <w:highlight w:val="white"/>
        </w:rPr>
        <w:t xml:space="preserve">В случае необходимости Подрядчик осуществляет самостоятельное расследование и учет несчастных случаев, произошедших на объектах Заказчика, в соответствии с законодательством Российской Федерации, незамедлительно постав</w:t>
      </w:r>
      <w:r>
        <w:rPr>
          <w:rFonts w:ascii="Times New Roman" w:hAnsi="Times New Roman" w:eastAsia="Times New Roman" w:cs="Times New Roman"/>
          <w:bCs/>
          <w:iCs/>
          <w:color w:val="000000"/>
          <w:sz w:val="24"/>
          <w:szCs w:val="24"/>
          <w:highlight w:val="white"/>
        </w:rPr>
        <w:t xml:space="preserve">ив в известность Заказчика о таких случаях; при групповых и смертельных несчастных случаях, несчастных случаях с тяжелым исходом, самостоятельно направить сообщения о несчастном случае в соответствии со статьей 228.1 Трудового кодекса Российской Федерации.</w:t>
      </w:r>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761"/>
        <w:numPr>
          <w:ilvl w:val="1"/>
          <w:numId w:val="78"/>
        </w:numPr>
        <w:ind w:left="0" w:right="0" w:firstLine="850"/>
        <w:jc w:val="both"/>
        <w:spacing w:after="0" w:line="240" w:lineRule="auto"/>
        <w:shd w:val="clear" w:color="auto" w:fill="ffffff"/>
        <w:widowControl w:val="off"/>
        <w:tabs>
          <w:tab w:val="num" w:pos="1134" w:leader="none"/>
          <w:tab w:val="clear" w:pos="1440" w:leader="none"/>
        </w:tabs>
        <w:rPr>
          <w:rFonts w:ascii="Times New Roman" w:hAnsi="Times New Roman" w:cs="Times New Roman"/>
          <w:sz w:val="24"/>
          <w:szCs w:val="24"/>
          <w:highlight w:val="white"/>
        </w:rPr>
      </w:pPr>
      <w:r>
        <w:rPr>
          <w:rFonts w:ascii="Times New Roman" w:hAnsi="Times New Roman" w:eastAsia="Times New Roman" w:cs="Times New Roman"/>
          <w:sz w:val="24"/>
          <w:szCs w:val="24"/>
          <w:highlight w:val="white"/>
        </w:rPr>
      </w:r>
      <w:r>
        <w:rPr>
          <w:rFonts w:ascii="Times New Roman" w:hAnsi="Times New Roman" w:eastAsia="Times New Roman" w:cs="Times New Roman"/>
          <w:bCs/>
          <w:iCs/>
          <w:color w:val="000000"/>
          <w:sz w:val="24"/>
          <w:szCs w:val="24"/>
          <w:highlight w:val="white"/>
        </w:rPr>
        <w:t xml:space="preserve">Подрядчик обязуется при производстве работ не нарушать права третьих лиц, а также оградить Заказчика от возможных претензий со стороны этих лиц.</w:t>
      </w:r>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761"/>
        <w:numPr>
          <w:ilvl w:val="1"/>
          <w:numId w:val="78"/>
        </w:numPr>
        <w:ind w:left="0" w:right="0" w:firstLine="850"/>
        <w:jc w:val="both"/>
        <w:spacing w:after="0" w:line="240" w:lineRule="auto"/>
        <w:shd w:val="clear" w:color="auto" w:fill="ffffff"/>
        <w:widowControl w:val="off"/>
        <w:tabs>
          <w:tab w:val="num" w:pos="1134" w:leader="none"/>
          <w:tab w:val="clear" w:pos="1440" w:leader="none"/>
        </w:tabs>
        <w:rPr>
          <w:rFonts w:ascii="Times New Roman" w:hAnsi="Times New Roman" w:cs="Times New Roman"/>
          <w:sz w:val="24"/>
          <w:szCs w:val="24"/>
          <w:highlight w:val="white"/>
        </w:rPr>
      </w:pPr>
      <w:r>
        <w:rPr>
          <w:rFonts w:ascii="Times New Roman" w:hAnsi="Times New Roman" w:eastAsia="Times New Roman" w:cs="Times New Roman"/>
          <w:sz w:val="24"/>
          <w:szCs w:val="24"/>
          <w:highlight w:val="white"/>
        </w:rPr>
      </w:r>
      <w:r>
        <w:rPr>
          <w:rFonts w:ascii="Times New Roman" w:hAnsi="Times New Roman" w:eastAsia="Times New Roman" w:cs="Times New Roman"/>
          <w:bCs/>
          <w:iCs/>
          <w:color w:val="000000"/>
          <w:sz w:val="24"/>
          <w:szCs w:val="24"/>
          <w:highlight w:val="white"/>
        </w:rPr>
        <w:t xml:space="preserve">Подрядчик обязан письменно предупреждать Заказчика о выявлении в процессе исполнения обязательств по договору обстоятельств, являющихся причиной прогнозируемого срыва сроков выполнения работ с предложением мероприятий по исключению данных обстоятельств.</w:t>
      </w:r>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761"/>
        <w:numPr>
          <w:ilvl w:val="1"/>
          <w:numId w:val="78"/>
        </w:numPr>
        <w:ind w:left="0" w:right="0" w:firstLine="850"/>
        <w:jc w:val="both"/>
        <w:spacing w:after="0" w:line="240" w:lineRule="auto"/>
        <w:shd w:val="clear" w:color="auto" w:fill="ffffff"/>
        <w:widowControl w:val="off"/>
        <w:tabs>
          <w:tab w:val="num" w:pos="1134" w:leader="none"/>
          <w:tab w:val="clear" w:pos="1440" w:leader="none"/>
        </w:tabs>
        <w:rPr>
          <w:rFonts w:ascii="Times New Roman" w:hAnsi="Times New Roman" w:cs="Times New Roman"/>
          <w:sz w:val="24"/>
          <w:szCs w:val="24"/>
          <w:highlight w:val="white"/>
        </w:rPr>
      </w:pPr>
      <w:r>
        <w:rPr>
          <w:rFonts w:ascii="Times New Roman" w:hAnsi="Times New Roman" w:eastAsia="Times New Roman" w:cs="Times New Roman"/>
          <w:sz w:val="24"/>
          <w:szCs w:val="24"/>
          <w:highlight w:val="white"/>
        </w:rPr>
      </w:r>
      <w:r>
        <w:rPr>
          <w:rFonts w:ascii="Times New Roman" w:hAnsi="Times New Roman" w:eastAsia="Times New Roman" w:cs="Times New Roman"/>
          <w:bCs/>
          <w:iCs/>
          <w:color w:val="000000"/>
          <w:sz w:val="24"/>
          <w:szCs w:val="24"/>
          <w:highlight w:val="white"/>
        </w:rPr>
        <w:t xml:space="preserve">Подрядчик обязан приостановить выполнение работ по Договору</w:t>
      </w:r>
      <w:r>
        <w:rPr>
          <w:rFonts w:ascii="Times New Roman" w:hAnsi="Times New Roman" w:eastAsia="Times New Roman" w:cs="Times New Roman"/>
          <w:bCs/>
          <w:iCs/>
          <w:color w:val="000000"/>
          <w:sz w:val="24"/>
          <w:szCs w:val="24"/>
          <w:highlight w:val="white"/>
        </w:rPr>
        <w:t xml:space="preserve">, если в процессе их выполнения будет установлена неизбежность получения отрицательного результата или нецелесообразность дальнейшего проведения работ, и не позднее 3 (трех) календарных дней с момента приостановления, письменно уведомить об этом Заказч</w:t>
      </w:r>
      <w:r>
        <w:rPr>
          <w:rFonts w:ascii="Times New Roman" w:hAnsi="Times New Roman" w:eastAsia="Times New Roman" w:cs="Times New Roman"/>
          <w:bCs/>
          <w:iCs/>
          <w:color w:val="000000"/>
          <w:sz w:val="24"/>
          <w:szCs w:val="24"/>
          <w:highlight w:val="white"/>
        </w:rPr>
        <w:t xml:space="preserve">ика с предоставлением подтверждающих документов. При этом Стороны в течение 10 (десяти) календарных дней с момента приостановления работ принимают решение о целесообразности дальнейшего выполнения работ и, по требованию Заказчика подписывают акт о приостан</w:t>
      </w:r>
      <w:r>
        <w:rPr>
          <w:rFonts w:ascii="Times New Roman" w:hAnsi="Times New Roman" w:eastAsia="Times New Roman" w:cs="Times New Roman"/>
          <w:bCs/>
          <w:iCs/>
          <w:color w:val="000000"/>
          <w:sz w:val="24"/>
          <w:szCs w:val="24"/>
          <w:highlight w:val="white"/>
        </w:rPr>
        <w:t xml:space="preserve">овлении </w:t>
      </w:r>
      <w:r>
        <w:rPr>
          <w:rFonts w:ascii="Times New Roman" w:hAnsi="Times New Roman" w:eastAsia="Times New Roman" w:cs="Times New Roman"/>
          <w:bCs/>
          <w:iCs/>
          <w:color w:val="000000"/>
          <w:sz w:val="24"/>
          <w:szCs w:val="24"/>
          <w:highlight w:val="white"/>
        </w:rPr>
        <w:t xml:space="preserve">строительства (форма № КС-17, № КС-18). При этом Подрядчик в течение 10 (десяти) дней обязан освободить строительную площадку с результатом выполненных работ от механизмов, временных сооружении, и иного принадлежащего ему имущества, а также вывезти мусора.</w:t>
      </w:r>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761"/>
        <w:numPr>
          <w:ilvl w:val="1"/>
          <w:numId w:val="78"/>
        </w:numPr>
        <w:ind w:left="0" w:right="0" w:firstLine="850"/>
        <w:jc w:val="both"/>
        <w:spacing w:after="0" w:line="240" w:lineRule="auto"/>
        <w:shd w:val="clear" w:color="auto" w:fill="ffffff"/>
        <w:widowControl w:val="off"/>
        <w:tabs>
          <w:tab w:val="num" w:pos="1134" w:leader="none"/>
          <w:tab w:val="clear" w:pos="1440" w:leader="none"/>
        </w:tabs>
        <w:rPr>
          <w:rFonts w:ascii="Times New Roman" w:hAnsi="Times New Roman" w:cs="Times New Roman"/>
          <w:sz w:val="24"/>
          <w:szCs w:val="24"/>
          <w:highlight w:val="white"/>
        </w:rPr>
      </w:pPr>
      <w:r>
        <w:rPr>
          <w:rFonts w:ascii="Times New Roman" w:hAnsi="Times New Roman" w:eastAsia="Times New Roman" w:cs="Times New Roman"/>
          <w:sz w:val="24"/>
          <w:szCs w:val="24"/>
          <w:highlight w:val="white"/>
        </w:rPr>
      </w:r>
      <w:r>
        <w:rPr>
          <w:rFonts w:ascii="Times New Roman" w:hAnsi="Times New Roman" w:eastAsia="Times New Roman" w:cs="Times New Roman"/>
          <w:color w:val="000000"/>
          <w:sz w:val="24"/>
          <w:szCs w:val="24"/>
          <w:highlight w:val="white"/>
        </w:rPr>
        <w:t xml:space="preserve">Подрядчик обязан сдать объект (результат выполненных работ) Заказчику, передав при этом всю документацию, относящуюся к выполненным работам, в том числе техническую документацию на поставляемое оборудование (на русском языке).</w:t>
      </w:r>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761"/>
        <w:numPr>
          <w:ilvl w:val="1"/>
          <w:numId w:val="78"/>
        </w:numPr>
        <w:ind w:left="0" w:right="0" w:firstLine="850"/>
        <w:jc w:val="both"/>
        <w:spacing w:after="0" w:line="240" w:lineRule="auto"/>
        <w:shd w:val="clear" w:color="auto" w:fill="ffffff"/>
        <w:widowControl w:val="off"/>
        <w:tabs>
          <w:tab w:val="num" w:pos="1134" w:leader="none"/>
          <w:tab w:val="clear" w:pos="1440" w:leader="none"/>
        </w:tabs>
        <w:rPr>
          <w:rFonts w:ascii="Times New Roman" w:hAnsi="Times New Roman" w:cs="Times New Roman"/>
          <w:sz w:val="24"/>
          <w:szCs w:val="24"/>
        </w:rPr>
      </w:pPr>
      <w:r>
        <w:rPr>
          <w:rFonts w:ascii="Times New Roman" w:hAnsi="Times New Roman" w:eastAsia="Times New Roman" w:cs="Times New Roman"/>
          <w:sz w:val="24"/>
          <w:szCs w:val="24"/>
          <w:highlight w:val="none"/>
        </w:rPr>
      </w:r>
      <w:r>
        <w:rPr>
          <w:rStyle w:val="1763"/>
          <w:rFonts w:ascii="Times New Roman" w:hAnsi="Times New Roman" w:eastAsia="Times New Roman" w:cs="Times New Roman"/>
          <w:sz w:val="24"/>
          <w:szCs w:val="24"/>
        </w:rPr>
        <w:footnoteReference w:id="13"/>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 случае если цена Договора, указанная в п. 3.1 Договора, 10 000 000 (десять миллионов) рублей с учетом НДС или более,</w:t>
      </w:r>
      <w:r>
        <w:rPr>
          <w:rFonts w:ascii="Times New Roman" w:hAnsi="Times New Roman" w:eastAsia="Times New Roman" w:cs="Times New Roman"/>
          <w:sz w:val="24"/>
          <w:szCs w:val="24"/>
        </w:rPr>
        <w:t xml:space="preserve"> Подрядчик обязуется заключить договор комбинированного страхования рисков случайной гибели или случайного повреждения объекта, материалов</w:t>
      </w:r>
      <w:r>
        <w:rPr>
          <w:rFonts w:ascii="Times New Roman" w:hAnsi="Times New Roman" w:eastAsia="Times New Roman" w:cs="Times New Roman"/>
          <w:sz w:val="24"/>
          <w:szCs w:val="24"/>
        </w:rPr>
        <w:t xml:space="preserve">,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w:t>
      </w:r>
      <w:r>
        <w:rPr>
          <w:rStyle w:val="1763"/>
          <w:rFonts w:ascii="Times New Roman" w:hAnsi="Times New Roman" w:eastAsia="Times New Roman" w:cs="Times New Roman"/>
          <w:sz w:val="24"/>
          <w:szCs w:val="24"/>
        </w:rPr>
        <w:footnoteReference w:id="14"/>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ind w:firstLine="709"/>
        <w:jc w:val="both"/>
        <w:shd w:val="clear" w:color="auto" w:fill="ffffff"/>
        <w:widowControl w:val="off"/>
        <w:tabs>
          <w:tab w:val="left" w:pos="284" w:leader="none"/>
          <w:tab w:val="left" w:pos="993" w:leader="none"/>
        </w:tabs>
      </w:pPr>
      <w:r>
        <w:t xml:space="preserve">В качестве выгодоприобретателя </w:t>
      </w:r>
      <w:r>
        <w:t xml:space="preserve">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w:t>
      </w:r>
      <w:r>
        <w:t xml:space="preserve">тачи повреждения на Заказчика.</w:t>
      </w:r>
      <w:r/>
    </w:p>
    <w:p>
      <w:pPr>
        <w:ind w:firstLine="851"/>
        <w:jc w:val="both"/>
        <w:shd w:val="clear" w:color="auto" w:fill="ffffff"/>
        <w:widowControl w:val="off"/>
        <w:rPr>
          <w:highlight w:val="white"/>
        </w:rPr>
      </w:pPr>
      <w:r>
        <w:rPr>
          <w:highlight w:val="white"/>
        </w:rPr>
        <w:t xml:space="preserve">5.31.</w:t>
      </w:r>
      <w:r>
        <w:rPr>
          <w:highlight w:val="white"/>
        </w:rPr>
        <w:t xml:space="preserve"> Страховая компания Подрядчика должна быть надежной и отвечать следующим требованиям: </w:t>
      </w:r>
      <w:r>
        <w:rPr>
          <w:highlight w:val="white"/>
        </w:rPr>
      </w:r>
      <w:r>
        <w:rPr>
          <w:highlight w:val="white"/>
        </w:rPr>
      </w:r>
    </w:p>
    <w:p>
      <w:pPr>
        <w:ind w:firstLine="851"/>
        <w:jc w:val="both"/>
        <w:shd w:val="clear" w:color="auto" w:fill="ffffff"/>
        <w:widowControl w:val="off"/>
        <w:tabs>
          <w:tab w:val="left" w:pos="284" w:leader="none"/>
          <w:tab w:val="left" w:pos="993" w:leader="none"/>
        </w:tabs>
      </w:pPr>
      <w:r>
        <w:t xml:space="preserve">5.31.1. Зарегистрирована на территории Российской Федерации.</w:t>
      </w:r>
      <w:r/>
    </w:p>
    <w:p>
      <w:pPr>
        <w:ind w:firstLine="851"/>
        <w:jc w:val="both"/>
        <w:shd w:val="clear" w:color="auto" w:fill="ffffff"/>
        <w:widowControl w:val="off"/>
        <w:tabs>
          <w:tab w:val="left" w:pos="284" w:leader="none"/>
          <w:tab w:val="left" w:pos="993" w:leader="none"/>
        </w:tabs>
      </w:pPr>
      <w:r>
        <w:t xml:space="preserve">5.31.2. Иметь действующую л</w:t>
      </w:r>
      <w:r>
        <w:t xml:space="preserve">ицензию на право страхования строительно-монтажных рисков;</w:t>
      </w:r>
      <w:r/>
    </w:p>
    <w:p>
      <w:pPr>
        <w:ind w:firstLine="851"/>
        <w:jc w:val="both"/>
        <w:shd w:val="clear" w:color="auto" w:fill="ffffff"/>
        <w:widowControl w:val="off"/>
        <w:tabs>
          <w:tab w:val="left" w:pos="284" w:leader="none"/>
          <w:tab w:val="left" w:pos="993" w:leader="none"/>
        </w:tabs>
      </w:pPr>
      <w:r>
        <w:t xml:space="preserve">5.31.3.</w:t>
      </w:r>
      <w:r>
        <w:tab/>
        <w:t xml:space="preserve">Иметь действующую лицензию на осуществление работ, связанных </w:t>
      </w:r>
      <w:r>
        <w:br/>
        <w:t xml:space="preserve">с использованием сведений, составляющих государственную тайну (если сведения, составляющие государственную тайну используются п</w:t>
      </w:r>
      <w:r>
        <w:t xml:space="preserve">ри реализации Договора подряда);</w:t>
      </w:r>
      <w:r/>
    </w:p>
    <w:p>
      <w:pPr>
        <w:ind w:firstLine="851"/>
        <w:jc w:val="both"/>
        <w:shd w:val="clear" w:color="auto" w:fill="ffffff"/>
        <w:widowControl w:val="off"/>
        <w:tabs>
          <w:tab w:val="left" w:pos="284" w:leader="none"/>
          <w:tab w:val="left" w:pos="993" w:leader="none"/>
        </w:tabs>
      </w:pPr>
      <w:r>
        <w:t xml:space="preserve">5.31.4.</w:t>
      </w:r>
      <w:r>
        <w:tab/>
        <w:t xml:space="preserve">Опыт работы на страховом рынке должен составлять не менее </w:t>
      </w:r>
      <w:r>
        <w:br/>
        <w:t xml:space="preserve">10 (десяти) лет;</w:t>
      </w:r>
      <w:r/>
    </w:p>
    <w:p>
      <w:pPr>
        <w:ind w:firstLine="851"/>
        <w:jc w:val="both"/>
        <w:shd w:val="clear" w:color="auto" w:fill="ffffff"/>
        <w:widowControl w:val="off"/>
        <w:tabs>
          <w:tab w:val="left" w:pos="284" w:leader="none"/>
          <w:tab w:val="left" w:pos="993" w:leader="none"/>
        </w:tabs>
      </w:pPr>
      <w:r>
        <w:t xml:space="preserve">5.31.5.</w:t>
      </w:r>
      <w:r>
        <w:tab/>
        <w:t xml:space="preserve">Иметь опыт участия в страховании электросетевых объектов;</w:t>
      </w:r>
      <w:r/>
    </w:p>
    <w:p>
      <w:pPr>
        <w:ind w:firstLine="851"/>
        <w:jc w:val="both"/>
        <w:shd w:val="clear" w:color="auto" w:fill="ffffff"/>
        <w:widowControl w:val="off"/>
        <w:tabs>
          <w:tab w:val="left" w:pos="284" w:leader="none"/>
          <w:tab w:val="left" w:pos="993" w:leader="none"/>
        </w:tabs>
      </w:pPr>
      <w:r>
        <w:t xml:space="preserve">5.31.6.</w:t>
      </w:r>
      <w:r>
        <w:tab/>
        <w:t xml:space="preserve">Не должна находиться в процессе ликвидации, банкротства </w:t>
      </w:r>
      <w:r>
        <w:br/>
        <w:t xml:space="preserve">или реор</w:t>
      </w:r>
      <w:r>
        <w:t xml:space="preserve">ганизации, на его имущество не должен быть наложен арест;</w:t>
      </w:r>
      <w:r/>
    </w:p>
    <w:p>
      <w:pPr>
        <w:ind w:firstLine="851"/>
        <w:jc w:val="both"/>
        <w:shd w:val="clear" w:color="auto" w:fill="ffffff"/>
        <w:widowControl w:val="off"/>
        <w:tabs>
          <w:tab w:val="left" w:pos="284" w:leader="none"/>
          <w:tab w:val="left" w:pos="993" w:leader="none"/>
        </w:tabs>
      </w:pPr>
      <w:r>
        <w:t xml:space="preserve">5.31.7.</w:t>
      </w:r>
      <w:r>
        <w:tab/>
        <w:t xml:space="preserve">Не должна быть включенной в Реестр недобросовестных поставщиков, который ведется в соответствии с законодательством Российской Федерации;</w:t>
      </w:r>
      <w:r/>
    </w:p>
    <w:p>
      <w:pPr>
        <w:ind w:firstLine="851"/>
        <w:jc w:val="both"/>
        <w:shd w:val="clear" w:color="auto" w:fill="ffffff"/>
        <w:widowControl w:val="off"/>
        <w:tabs>
          <w:tab w:val="left" w:pos="284" w:leader="none"/>
          <w:tab w:val="left" w:pos="993" w:leader="none"/>
        </w:tabs>
      </w:pPr>
      <w:r>
        <w:t xml:space="preserve">5.31.8.</w:t>
      </w:r>
      <w:r>
        <w:tab/>
        <w:t xml:space="preserve">Иметь положительный финансовый результат по </w:t>
      </w:r>
      <w:r>
        <w:t xml:space="preserve">итогам работы </w:t>
      </w:r>
      <w:r>
        <w:br/>
        <w:t xml:space="preserve">за последние два отчетных года и последний отчетный период;</w:t>
      </w:r>
      <w:r/>
    </w:p>
    <w:p>
      <w:pPr>
        <w:ind w:firstLine="851"/>
        <w:jc w:val="both"/>
        <w:shd w:val="clear" w:color="auto" w:fill="ffffff"/>
        <w:widowControl w:val="off"/>
        <w:tabs>
          <w:tab w:val="left" w:pos="284" w:leader="none"/>
          <w:tab w:val="left" w:pos="993" w:leader="none"/>
        </w:tabs>
      </w:pPr>
      <w:r>
        <w:t xml:space="preserve">5.31.9.</w:t>
      </w:r>
      <w:r>
        <w:tab/>
        <w:t xml:space="preserve">Размер собственных средств должен составлять не менее 3 млрд. рублей;</w:t>
      </w:r>
      <w:r/>
    </w:p>
    <w:p>
      <w:pPr>
        <w:ind w:firstLine="851"/>
        <w:jc w:val="both"/>
        <w:shd w:val="clear" w:color="auto" w:fill="ffffff"/>
        <w:widowControl w:val="off"/>
        <w:tabs>
          <w:tab w:val="left" w:pos="284" w:leader="none"/>
          <w:tab w:val="left" w:pos="993" w:leader="none"/>
          <w:tab w:val="left" w:pos="1701" w:leader="none"/>
        </w:tabs>
      </w:pPr>
      <w:r>
        <w:t xml:space="preserve">5.31.10.</w:t>
      </w:r>
      <w:r>
        <w:tab/>
        <w:t xml:space="preserve">Наличие рейтинга надежности, присвоенного российским рейтинговым агентством «Эксперт РА» (RAEX</w:t>
      </w:r>
      <w:r>
        <w:t xml:space="preserve">), на уровне не ниже «</w:t>
      </w:r>
      <w:r>
        <w:t xml:space="preserve">ruAA</w:t>
      </w:r>
      <w:r>
        <w:t xml:space="preserve">-»;</w:t>
      </w:r>
      <w:r/>
    </w:p>
    <w:p>
      <w:pPr>
        <w:ind w:firstLine="851"/>
        <w:jc w:val="both"/>
        <w:shd w:val="clear" w:color="auto" w:fill="ffffff"/>
        <w:widowControl w:val="off"/>
        <w:tabs>
          <w:tab w:val="left" w:pos="284" w:leader="none"/>
          <w:tab w:val="left" w:pos="993" w:leader="none"/>
          <w:tab w:val="left" w:pos="1701" w:leader="none"/>
        </w:tabs>
      </w:pPr>
      <w:r>
        <w:t xml:space="preserve">5.31.11.</w:t>
      </w:r>
      <w:r>
        <w:tab/>
        <w:t xml:space="preserve">Наличие международного рейтинга финансовой надежности по шкале S&amp;P (не ниже «В»), </w:t>
      </w:r>
      <w:r>
        <w:t xml:space="preserve">Moody’s</w:t>
      </w:r>
      <w:r>
        <w:t xml:space="preserve"> (не ниже «В1») или </w:t>
      </w:r>
      <w:r>
        <w:t xml:space="preserve">Fitch</w:t>
      </w:r>
      <w:r>
        <w:t xml:space="preserve"> (не ниже «В»). При отсутствии рейтинга или несоответствия уровня рейтинга вышеуказанным требованиям ра</w:t>
      </w:r>
      <w:r>
        <w:t xml:space="preserve">змер оплаченного уставного капитала Страховщика должен составлять не менее 6 млрд руб.</w:t>
      </w:r>
      <w:r/>
    </w:p>
    <w:p>
      <w:pPr>
        <w:ind w:firstLine="851"/>
        <w:jc w:val="both"/>
        <w:widowControl w:val="off"/>
        <w:tabs>
          <w:tab w:val="left" w:pos="284" w:leader="none"/>
          <w:tab w:val="left" w:pos="993" w:leader="none"/>
        </w:tabs>
      </w:pPr>
      <w:r>
        <w:t xml:space="preserve">5.32.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r/>
    </w:p>
    <w:p>
      <w:pPr>
        <w:ind w:firstLine="851"/>
        <w:jc w:val="both"/>
        <w:shd w:val="clear" w:color="auto" w:fill="ffffff"/>
        <w:widowControl w:val="off"/>
        <w:tabs>
          <w:tab w:val="left" w:pos="284" w:leader="none"/>
          <w:tab w:val="left" w:pos="993" w:leader="none"/>
        </w:tabs>
      </w:pPr>
      <w:r>
        <w:t xml:space="preserve">В дополнение к базовому страховому покрытию</w:t>
      </w:r>
      <w:r>
        <w:t xml:space="preserve">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w:t>
      </w:r>
      <w:r>
        <w:t xml:space="preserve">ительных машин при нахождении на дорогах общего пользования).</w:t>
      </w:r>
      <w:r/>
    </w:p>
    <w:p>
      <w:pPr>
        <w:ind w:firstLine="851"/>
        <w:jc w:val="both"/>
        <w:shd w:val="clear" w:color="auto" w:fill="ffffff"/>
        <w:widowControl w:val="off"/>
        <w:tabs>
          <w:tab w:val="left" w:pos="284" w:leader="none"/>
          <w:tab w:val="left" w:pos="993" w:leader="none"/>
        </w:tabs>
      </w:pPr>
      <w:r>
        <w:t xml:space="preserve">5.33. Страховые суммы по договору страхования должны устанавливаться с учетом следующих требований: </w:t>
      </w:r>
      <w:r/>
    </w:p>
    <w:p>
      <w:pPr>
        <w:ind w:firstLine="851"/>
        <w:jc w:val="both"/>
        <w:shd w:val="clear" w:color="auto" w:fill="ffffff"/>
        <w:widowControl w:val="off"/>
        <w:tabs>
          <w:tab w:val="left" w:pos="284" w:leader="none"/>
          <w:tab w:val="left" w:pos="993" w:leader="none"/>
        </w:tabs>
      </w:pPr>
      <w:r>
        <w:t xml:space="preserve">а) Страховая сумма по страхованию строительно-монтажных рисков (далее - Секция 1) в соответст</w:t>
      </w:r>
      <w:r>
        <w:t xml:space="preserve">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r/>
    </w:p>
    <w:p>
      <w:pPr>
        <w:ind w:firstLine="851"/>
        <w:jc w:val="both"/>
        <w:shd w:val="clear" w:color="auto" w:fill="ffffff"/>
        <w:widowControl w:val="off"/>
        <w:tabs>
          <w:tab w:val="left" w:pos="284" w:leader="none"/>
          <w:tab w:val="left" w:pos="993" w:leader="none"/>
        </w:tabs>
      </w:pPr>
      <w:r>
        <w:t xml:space="preserve">При изменении стоимости строительно</w:t>
      </w:r>
      <w:r>
        <w:t xml:space="preserve">-монтажных работ, стоимости оборудования (в том числе монтируемого оборудования Заказчика), прочих работ, материалов </w:t>
      </w:r>
      <w:r>
        <w:br/>
        <w:t xml:space="preserve">и имущества, составляющих стоимость объекта, и заключении соответствующего дополнительного соглашения к Договору подряда, Подрядчик обязан</w:t>
      </w:r>
      <w:r>
        <w:t xml:space="preserve"> заключить дополнительное соглашение к Договору страхования об соответствующем изменении страховой суммы по Секции 1.</w:t>
      </w:r>
      <w:r/>
    </w:p>
    <w:p>
      <w:pPr>
        <w:ind w:firstLine="851"/>
        <w:jc w:val="both"/>
        <w:shd w:val="clear" w:color="auto" w:fill="ffffff"/>
        <w:widowControl w:val="off"/>
        <w:tabs>
          <w:tab w:val="left" w:pos="284" w:leader="none"/>
          <w:tab w:val="left" w:pos="993" w:leader="none"/>
        </w:tabs>
      </w:pPr>
      <w:r>
        <w:t xml:space="preserve">б) Страховая сумма по страхованию гражданской ответственности за причинение вреда имуществу и/или жизни и здоровью третьих лиц (далее - Се</w:t>
      </w:r>
      <w:r>
        <w:t xml:space="preserve">кция 2) назначается по соглашению сторон Договора, но не менее 15% (пятнадцати процентов) от полной стоимости Работ, определённой Договором подряда.</w:t>
      </w:r>
      <w:r/>
    </w:p>
    <w:p>
      <w:pPr>
        <w:ind w:firstLine="851"/>
        <w:jc w:val="both"/>
        <w:shd w:val="clear" w:color="auto" w:fill="ffffff"/>
        <w:widowControl w:val="off"/>
        <w:tabs>
          <w:tab w:val="left" w:pos="284" w:leader="none"/>
          <w:tab w:val="left" w:pos="993" w:leader="none"/>
        </w:tabs>
      </w:pPr>
      <w:r>
        <w:t xml:space="preserve">5.33.1. Период страхования строительно-монтажных работ устанавливается равным периоду от момента начала про</w:t>
      </w:r>
      <w:r>
        <w:t xml:space="preserve">изводства работ до момента ввода Объекта в эксплуатацию </w:t>
      </w:r>
      <w:r>
        <w:br/>
        <w:t xml:space="preserve">(в соответствии с условиями Договора). Период страхования </w:t>
      </w:r>
      <w:r>
        <w:t xml:space="preserve">послепусковых</w:t>
      </w:r>
      <w:r>
        <w:t xml:space="preserve"> гарантийных обязательств устанавливается равным периоду гарантийного обслуживания (в соответствии </w:t>
      </w:r>
      <w:r>
        <w:br/>
        <w:t xml:space="preserve">с условиями Договора). При у</w:t>
      </w:r>
      <w:r>
        <w:t xml:space="preserve">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w:t>
      </w:r>
      <w:r>
        <w:t xml:space="preserve">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w:t>
      </w:r>
      <w:r>
        <w:t xml:space="preserve">ки по взаимному согласию Сторон </w:t>
      </w:r>
      <w:r>
        <w:br/>
        <w:t xml:space="preserve">или имело место неисполнение обязательств одной из Сторон). </w:t>
      </w:r>
      <w:r/>
    </w:p>
    <w:p>
      <w:pPr>
        <w:ind w:firstLine="851"/>
        <w:jc w:val="both"/>
        <w:shd w:val="clear" w:color="auto" w:fill="ffffff"/>
        <w:widowControl w:val="off"/>
        <w:tabs>
          <w:tab w:val="left" w:pos="284" w:leader="none"/>
          <w:tab w:val="left" w:pos="993" w:leader="none"/>
        </w:tabs>
      </w:pPr>
      <w:r>
        <w:t xml:space="preserve">5.33.2. 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w:t>
      </w:r>
      <w:r>
        <w:t xml:space="preserve">лнительное соглашение к Договору страхования о корректировке страховой суммы по страхованию строительно-монтажных работ.</w:t>
      </w:r>
      <w:r/>
    </w:p>
    <w:p>
      <w:pPr>
        <w:ind w:firstLine="851"/>
        <w:jc w:val="both"/>
        <w:shd w:val="clear" w:color="auto" w:fill="ffffff"/>
        <w:widowControl w:val="off"/>
        <w:tabs>
          <w:tab w:val="left" w:pos="284" w:leader="none"/>
          <w:tab w:val="left" w:pos="993" w:leader="none"/>
        </w:tabs>
      </w:pPr>
      <w:r>
        <w:t xml:space="preserve">5.33.3. Любые вносимые в Договор страхования изменения Подрядчик обязан предварительно согласовать с Заказчиком.</w:t>
      </w:r>
      <w:r/>
    </w:p>
    <w:p>
      <w:pPr>
        <w:ind w:firstLine="851"/>
        <w:jc w:val="both"/>
        <w:shd w:val="clear" w:color="auto" w:fill="ffffff"/>
        <w:widowControl w:val="off"/>
        <w:tabs>
          <w:tab w:val="left" w:pos="284" w:leader="none"/>
          <w:tab w:val="left" w:pos="993" w:leader="none"/>
        </w:tabs>
      </w:pPr>
      <w:r>
        <w:t xml:space="preserve">5.33.4. Подрядчик обяз</w:t>
      </w:r>
      <w:r>
        <w:t xml:space="preserve">ан в течение 3 (трех) рабочих дней после заключения дополнительного соглашения к Договору страхования представить Заказчику (по Акту приема-передачи):</w:t>
      </w:r>
      <w:r/>
    </w:p>
    <w:p>
      <w:pPr>
        <w:ind w:firstLine="851"/>
        <w:jc w:val="both"/>
        <w:shd w:val="clear" w:color="auto" w:fill="ffffff"/>
        <w:widowControl w:val="off"/>
        <w:tabs>
          <w:tab w:val="left" w:pos="284" w:leader="none"/>
          <w:tab w:val="left" w:pos="993" w:leader="none"/>
        </w:tabs>
      </w:pPr>
      <w:r>
        <w:t xml:space="preserve">- экземпляр такого дополнительно соглашения, а также заверенную копию платежного поручения об оплате стра</w:t>
      </w:r>
      <w:r>
        <w:t xml:space="preserve">ховой премии по дополнительному соглашению </w:t>
      </w:r>
      <w:r>
        <w:br/>
        <w:t xml:space="preserve">к Договору страхования с отметкой страховой организации об их получении </w:t>
      </w:r>
      <w:r>
        <w:br/>
        <w:t xml:space="preserve">(если по дополнительному соглашению предусмотрена оплата). </w:t>
      </w:r>
      <w:r/>
    </w:p>
    <w:p>
      <w:pPr>
        <w:ind w:firstLine="851"/>
        <w:jc w:val="both"/>
        <w:shd w:val="clear" w:color="auto" w:fill="ffffff"/>
        <w:widowControl w:val="off"/>
        <w:tabs>
          <w:tab w:val="left" w:pos="284" w:leader="none"/>
          <w:tab w:val="left" w:pos="993" w:leader="none"/>
        </w:tabs>
      </w:pPr>
      <w:r>
        <w:t xml:space="preserve">Подрядчик обязан уведомлять страховую компанию о потенциальных страховых случая</w:t>
      </w:r>
      <w:r>
        <w:t xml:space="preserve">х, об изменении степени риска в срок, установленный Договором страхования. </w:t>
      </w:r>
      <w:r/>
    </w:p>
    <w:p>
      <w:pPr>
        <w:ind w:firstLine="851"/>
        <w:jc w:val="both"/>
        <w:widowControl w:val="off"/>
        <w:rPr>
          <w:rFonts w:eastAsia="Calibri"/>
        </w:rPr>
      </w:pPr>
      <w:r>
        <w:t xml:space="preserve">5.33.5. </w:t>
      </w:r>
      <w:r>
        <w:rPr>
          <w:rFonts w:eastAsia="Calibri"/>
        </w:rPr>
        <w:t xml:space="preserve">Страховой тариф по договору страхования не должен превышать 0,15% (ноля целых пятнадцати сотых процента).</w:t>
      </w:r>
      <w:r>
        <w:rPr>
          <w:rFonts w:eastAsia="Calibri"/>
        </w:rPr>
      </w:r>
      <w:r>
        <w:rPr>
          <w:rFonts w:eastAsia="Calibri"/>
        </w:rPr>
      </w:r>
    </w:p>
    <w:p>
      <w:pPr>
        <w:ind w:firstLine="851"/>
        <w:jc w:val="both"/>
        <w:widowControl w:val="off"/>
        <w:rPr>
          <w:rFonts w:eastAsia="Calibri"/>
        </w:rPr>
      </w:pPr>
      <w:r>
        <w:rPr>
          <w:rFonts w:eastAsia="Calibri"/>
        </w:rPr>
        <w:t xml:space="preserve">5.33.6. Подрядчик обязан согласовать проект Договора страхования с Заказчиком </w:t>
      </w:r>
      <w:r>
        <w:rPr>
          <w:rFonts w:eastAsia="Calibri"/>
        </w:rPr>
        <w:br/>
        <w:t xml:space="preserve">до его фактического подписания по средствам электронной связи. </w:t>
      </w:r>
      <w:r>
        <w:rPr>
          <w:rFonts w:eastAsia="Calibri"/>
        </w:rPr>
      </w:r>
      <w:r>
        <w:rPr>
          <w:rFonts w:eastAsia="Calibri"/>
        </w:rPr>
      </w:r>
    </w:p>
    <w:p>
      <w:pPr>
        <w:ind w:firstLine="851"/>
        <w:jc w:val="both"/>
        <w:widowControl w:val="off"/>
        <w:rPr>
          <w:bCs/>
          <w:iCs/>
        </w:rPr>
      </w:pPr>
      <w:r>
        <w:rPr>
          <w:rFonts w:eastAsia="Calibri"/>
        </w:rPr>
        <w:t xml:space="preserve">5.33.7. </w:t>
      </w:r>
      <w:r>
        <w:rPr>
          <w:bCs/>
          <w:iCs/>
        </w:rPr>
        <w:t xml:space="preserve">Подрядчик обязуется представить Заказчику </w:t>
      </w:r>
      <w:r>
        <w:t xml:space="preserve">по Акту приема-передачи комплект следующих документов:</w:t>
      </w:r>
      <w:r>
        <w:rPr>
          <w:bCs/>
          <w:iCs/>
        </w:rPr>
      </w:r>
      <w:r>
        <w:rPr>
          <w:bCs/>
          <w:iCs/>
        </w:rPr>
      </w:r>
    </w:p>
    <w:p>
      <w:pPr>
        <w:ind w:firstLine="851"/>
        <w:jc w:val="both"/>
        <w:widowControl w:val="off"/>
      </w:pPr>
      <w:r>
        <w:t xml:space="preserve">- экземп</w:t>
      </w:r>
      <w:r>
        <w:t xml:space="preserve">ляр договора страхования (заверенную копию);</w:t>
      </w:r>
      <w:r/>
    </w:p>
    <w:p>
      <w:pPr>
        <w:ind w:firstLine="851"/>
        <w:jc w:val="both"/>
        <w:widowControl w:val="off"/>
      </w:pPr>
      <w:r>
        <w:t xml:space="preserve">- полис страхования (при наличии);</w:t>
      </w:r>
      <w:r/>
    </w:p>
    <w:p>
      <w:pPr>
        <w:ind w:firstLine="851"/>
        <w:jc w:val="both"/>
        <w:widowControl w:val="off"/>
      </w:pPr>
      <w:r>
        <w:t xml:space="preserve">- платежное поручение с отметкой </w:t>
      </w:r>
      <w:r>
        <w:rPr>
          <w:bCs/>
          <w:iCs/>
        </w:rPr>
        <w:t xml:space="preserve">банка, подтверждающей перечисление денежных средств в качестве уплаты страховой премии по договору страхования,</w:t>
      </w:r>
      <w:r>
        <w:t xml:space="preserve"> заверенное страховой компанией.</w:t>
      </w:r>
      <w:r/>
    </w:p>
    <w:p>
      <w:pPr>
        <w:ind w:firstLine="851"/>
        <w:jc w:val="both"/>
        <w:widowControl w:val="off"/>
      </w:pPr>
      <w:r>
        <w:t xml:space="preserve">Указанный комплект документов должен быть предоставлен Заказчику не позднее 20 (двадцати) рабочих дней с даты заключения Договора. </w:t>
      </w:r>
      <w:r/>
    </w:p>
    <w:p>
      <w:pPr>
        <w:ind w:firstLine="851"/>
        <w:jc w:val="both"/>
        <w:widowControl w:val="off"/>
      </w:pPr>
      <w:r>
        <w:t xml:space="preserve">В случае нарушения сроков предоставления комплекта документов, Подрядчик</w:t>
      </w:r>
      <w:r>
        <w:rPr>
          <w:bCs/>
        </w:rPr>
        <w:t xml:space="preserve"> выплачивает Заказчику пени в размере 0,1% от цены </w:t>
      </w:r>
      <w:r>
        <w:rPr>
          <w:bCs/>
        </w:rPr>
        <w:t xml:space="preserve">Договора</w:t>
      </w:r>
      <w:r>
        <w:t xml:space="preserve"> за каждый день просрочки </w:t>
      </w:r>
      <w:r>
        <w:br/>
        <w:t xml:space="preserve">до фактического исполнения обязательства по предоставлению комплекта документов.</w:t>
      </w:r>
      <w:r/>
    </w:p>
    <w:p>
      <w:pPr>
        <w:ind w:firstLine="851"/>
        <w:jc w:val="both"/>
        <w:widowControl w:val="off"/>
        <w:rPr>
          <w:highlight w:val="white"/>
        </w:rPr>
      </w:pPr>
      <w:r>
        <w:t xml:space="preserve">5.33.8. В случае если страховая компания перестала отвечать требованиям, указанным </w:t>
      </w:r>
      <w:r>
        <w:rPr>
          <w:highlight w:val="white"/>
        </w:rPr>
        <w:t xml:space="preserve">в п.5.31. Договора, либо при возникновении публичной инфор</w:t>
      </w:r>
      <w:r>
        <w:rPr>
          <w:highlight w:val="white"/>
        </w:rPr>
        <w:t xml:space="preserve">мации о рисках утраты платежеспособности и/или существенном ухудшении финансовой устойчивости, Подрядчик обязан обеспечить замену договора страхования не позднее 14 рабочих дней </w:t>
      </w:r>
      <w:r>
        <w:rPr>
          <w:highlight w:val="white"/>
        </w:rPr>
        <w:br/>
        <w:t xml:space="preserve">с даты выявления факта несоответствия требованиям.</w:t>
      </w:r>
      <w:r>
        <w:rPr>
          <w:highlight w:val="white"/>
        </w:rPr>
      </w:r>
      <w:r>
        <w:rPr>
          <w:highlight w:val="white"/>
        </w:rPr>
      </w:r>
    </w:p>
    <w:p>
      <w:pPr>
        <w:ind w:firstLine="708"/>
        <w:jc w:val="both"/>
        <w:widowControl w:val="off"/>
        <w:rPr>
          <w:highlight w:val="green"/>
        </w:rPr>
      </w:pPr>
      <w:r>
        <w:rPr>
          <w:highlight w:val="green"/>
        </w:rPr>
        <w:t xml:space="preserve">5.34. </w:t>
      </w:r>
      <w:r>
        <w:rPr>
          <w:highlight w:val="green"/>
          <w:lang w:eastAsia="ar-SA"/>
        </w:rPr>
        <w:t xml:space="preserve">Подрядчик обязуется не позднее 5 (Пяти) рабочих дней (за исключением выходных и праздничных дней) с момента, когда ему стало известно о наступлении события, имеющего признаки страхового случая, сообщить об этом Заказчику способом, позволяющим достоверно ус</w:t>
      </w:r>
      <w:r>
        <w:rPr>
          <w:highlight w:val="green"/>
          <w:lang w:eastAsia="ar-SA"/>
        </w:rPr>
        <w:t xml:space="preserve">тановить текст (с указанием отправителя) и дату сообщения (посредством телеграфной, телетайпной, факсимильной, электронной связи, телефонограммой).</w:t>
      </w:r>
      <w:r>
        <w:rPr>
          <w:highlight w:val="green"/>
        </w:rPr>
      </w:r>
      <w:r>
        <w:rPr>
          <w:highlight w:val="green"/>
        </w:rPr>
      </w:r>
    </w:p>
    <w:p>
      <w:pPr>
        <w:ind w:firstLine="851"/>
        <w:jc w:val="both"/>
        <w:widowControl w:val="off"/>
        <w:rPr>
          <w:highlight w:val="green"/>
        </w:rPr>
      </w:pPr>
      <w:r>
        <w:rPr>
          <w:highlight w:val="green"/>
          <w:lang w:eastAsia="ar-SA"/>
        </w:rPr>
        <w:t xml:space="preserve">Подрядчик гарантирует Заказчику безусловное исполнение всех обязательств страхователя по договору страховани</w:t>
      </w:r>
      <w:r>
        <w:rPr>
          <w:highlight w:val="green"/>
          <w:lang w:eastAsia="ar-SA"/>
        </w:rPr>
        <w:t xml:space="preserve">я строительно-монтажных рисков, заключаемого им по форме Приложения № 5 к Договору.</w:t>
      </w:r>
      <w:r>
        <w:rPr>
          <w:highlight w:val="green"/>
        </w:rPr>
      </w:r>
      <w:r>
        <w:rPr>
          <w:highlight w:val="green"/>
        </w:rPr>
      </w:r>
    </w:p>
    <w:p>
      <w:pPr>
        <w:ind w:firstLine="851"/>
        <w:jc w:val="both"/>
        <w:widowControl w:val="off"/>
        <w:rPr>
          <w:highlight w:val="white"/>
        </w:rPr>
      </w:pPr>
      <w:r>
        <w:rPr>
          <w:highlight w:val="white"/>
        </w:rPr>
        <w:t xml:space="preserve">5.35. </w:t>
      </w:r>
      <w:r>
        <w:rPr>
          <w:highlight w:val="white"/>
        </w:rPr>
        <w:t xml:space="preserve">Подрядчик подтверждает, что он заключил Договор на основании надлежащего изучения данных в представленной Заказчиком информации и закупочной </w:t>
      </w:r>
      <w:r>
        <w:rPr>
          <w:highlight w:val="white"/>
        </w:rPr>
        <w:t xml:space="preserve">документации  при</w:t>
      </w:r>
      <w:r>
        <w:rPr>
          <w:highlight w:val="white"/>
        </w:rPr>
        <w:t xml:space="preserve"> провед</w:t>
      </w:r>
      <w:r>
        <w:rPr>
          <w:highlight w:val="white"/>
        </w:rPr>
        <w:t xml:space="preserve">ении закупочной процедуры по заключению Договора.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надлежащую оценку сложности и стоимости работ.</w:t>
      </w:r>
      <w:r>
        <w:rPr>
          <w:highlight w:val="white"/>
        </w:rPr>
      </w:r>
      <w:r>
        <w:rPr>
          <w:highlight w:val="white"/>
        </w:rPr>
      </w:r>
    </w:p>
    <w:p>
      <w:pPr>
        <w:pStyle w:val="1761"/>
        <w:numPr>
          <w:ilvl w:val="1"/>
          <w:numId w:val="8"/>
        </w:numPr>
        <w:contextualSpacing w:val="0"/>
        <w:ind w:left="0" w:firstLine="851"/>
        <w:jc w:val="both"/>
        <w:spacing w:after="0" w:line="240" w:lineRule="auto"/>
        <w:tabs>
          <w:tab w:val="left" w:pos="1418" w:leader="none"/>
        </w:tabs>
        <w:rPr>
          <w:rFonts w:ascii="Times New Roman" w:hAnsi="Times New Roman"/>
          <w:sz w:val="24"/>
        </w:rPr>
      </w:pPr>
      <w:r>
        <w:rPr>
          <w:rFonts w:ascii="Times New Roman" w:hAnsi="Times New Roman"/>
          <w:sz w:val="24"/>
        </w:rPr>
        <w:t xml:space="preserve">Подрядчик обязуется представлять Заказчику:</w:t>
      </w:r>
      <w:r>
        <w:rPr>
          <w:rFonts w:ascii="Times New Roman" w:hAnsi="Times New Roman"/>
          <w:sz w:val="24"/>
        </w:rPr>
      </w:r>
      <w:r>
        <w:rPr>
          <w:rFonts w:ascii="Times New Roman" w:hAnsi="Times New Roman"/>
          <w:sz w:val="24"/>
        </w:rPr>
      </w:r>
    </w:p>
    <w:p>
      <w:pPr>
        <w:ind w:firstLine="851"/>
        <w:jc w:val="both"/>
        <w:tabs>
          <w:tab w:val="left" w:pos="1418" w:leader="none"/>
        </w:tabs>
      </w:pPr>
      <w:r>
        <w:t xml:space="preserve">- ин</w:t>
      </w:r>
      <w:r>
        <w:t xml:space="preserve">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w:t>
      </w:r>
      <w:r>
        <w:t xml:space="preserve">ия, выписки из ЕГРЮЛ, реестры акционеров, паспорта граждан при заключении договора с физическими лицами и т.п.), по форме, указанной в Приложении №6 к Договору;</w:t>
      </w:r>
      <w:r/>
    </w:p>
    <w:p>
      <w:pPr>
        <w:ind w:firstLine="851"/>
        <w:jc w:val="both"/>
        <w:tabs>
          <w:tab w:val="left" w:pos="1418" w:leader="none"/>
        </w:tabs>
      </w:pPr>
      <w:r>
        <w:t xml:space="preserve">- информацию о привлечении Подрядчиком к исполнению своих обязательств по договорам третьих лиц </w:t>
      </w:r>
      <w:r>
        <w:t xml:space="preserve">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w:t>
      </w:r>
      <w:r>
        <w:t xml:space="preserve">верждающих документов), по форме, указанной в Приложении №6 к Договору;</w:t>
      </w:r>
      <w:r/>
    </w:p>
    <w:p>
      <w:pPr>
        <w:ind w:firstLine="851"/>
        <w:jc w:val="both"/>
        <w:tabs>
          <w:tab w:val="left" w:pos="1418" w:leader="none"/>
        </w:tabs>
      </w:pPr>
      <w:r>
        <w:t xml:space="preserve">- информацию об изменении состава (по сравнению с существовавшим на дату заключения Договора) собственников Подрядчика, третьих лиц, привлеченных Подрядчиком к исполнению своих обязател</w:t>
      </w:r>
      <w:r>
        <w:t xml:space="preserve">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w:t>
      </w:r>
      <w:r>
        <w:t xml:space="preserve">иком к исполнению своих обязательств по договору. Информация (вместе с копиями подтверждающих документов) представляется в ПАО «</w:t>
      </w:r>
      <w:r>
        <w:t xml:space="preserve">Россети</w:t>
      </w:r>
      <w:r>
        <w:t xml:space="preserve"> Ленэнерго» по форме, указанной в Приложении №6 к настоящему Договору, не позднее 3 (трех) календарных дней с даты наступл</w:t>
      </w:r>
      <w:r>
        <w:t xml:space="preserve">ения соответствующего события (юридического факта) способом, позволяющим подтвердить дату получения. </w:t>
      </w:r>
      <w:r/>
    </w:p>
    <w:p>
      <w:pPr>
        <w:ind w:firstLine="851"/>
        <w:jc w:val="both"/>
        <w:tabs>
          <w:tab w:val="left" w:pos="1418" w:leader="none"/>
        </w:tabs>
      </w:pPr>
      <w:r>
        <w:t xml:space="preserve">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w:t>
      </w:r>
      <w:r>
        <w:t xml:space="preserve">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w:t>
      </w:r>
      <w:r>
        <w:t xml:space="preserve"> форме, указанной в Приложении №7 к Договору.</w:t>
      </w:r>
      <w:r/>
    </w:p>
    <w:p>
      <w:pPr>
        <w:ind w:firstLine="851"/>
        <w:jc w:val="both"/>
        <w:tabs>
          <w:tab w:val="left" w:pos="1418" w:leader="none"/>
        </w:tabs>
      </w:pPr>
      <w:r>
        <w:t xml:space="preserve">В случае невыполнения указанной обязанности Заказчик вправе потребовать, а Подрядчик обязуется уплатить штраф в размере 100 000 (ста тысяч) рублей.</w:t>
      </w:r>
      <w:r/>
    </w:p>
    <w:p>
      <w:pPr>
        <w:numPr>
          <w:ilvl w:val="1"/>
          <w:numId w:val="8"/>
        </w:numPr>
        <w:ind w:left="0" w:firstLine="851"/>
        <w:jc w:val="both"/>
        <w:widowControl w:val="off"/>
        <w:tabs>
          <w:tab w:val="num" w:pos="1070" w:leader="none"/>
        </w:tabs>
        <w:rPr>
          <w:color w:val="000000"/>
        </w:rPr>
      </w:pPr>
      <w:r>
        <w:rPr>
          <w:color w:val="000000"/>
        </w:rPr>
        <w:t xml:space="preserve">В случае одностороннего отказа Заказчика от исполнения обязател</w:t>
      </w:r>
      <w:r>
        <w:rPr>
          <w:color w:val="000000"/>
        </w:rPr>
        <w:t xml:space="preserve">ьств </w:t>
      </w:r>
      <w:r>
        <w:rPr>
          <w:color w:val="000000"/>
        </w:rPr>
        <w:br/>
        <w:t xml:space="preserve">по Договору</w:t>
      </w:r>
      <w:r>
        <w:rPr>
          <w:color w:val="000000"/>
        </w:rPr>
        <w:t xml:space="preserve"> по основаниям, указанным в настоящем договоре, в течение 15 (пятнадцати) календарных дней со дня направления уведомления об отказе от исполнения/расторжении Договора Подрядчик обязан вернуть Заказчику сумму авансовых платежей, материалы и оборудование, пе</w:t>
      </w:r>
      <w:r>
        <w:rPr>
          <w:color w:val="000000"/>
        </w:rPr>
        <w:t xml:space="preserve">реданные Подрядчику для выполнения работ, за вычетом стоимости принятых Заказчиком работ.</w:t>
      </w:r>
      <w:r>
        <w:rPr>
          <w:color w:val="000000"/>
        </w:rPr>
      </w:r>
      <w:r>
        <w:rPr>
          <w:color w:val="000000"/>
        </w:rPr>
      </w:r>
    </w:p>
    <w:p>
      <w:pPr>
        <w:pStyle w:val="1761"/>
        <w:numPr>
          <w:ilvl w:val="1"/>
          <w:numId w:val="8"/>
        </w:numPr>
        <w:contextualSpacing w:val="0"/>
        <w:ind w:left="0" w:firstLine="851"/>
        <w:jc w:val="both"/>
        <w:spacing w:after="0" w:line="240" w:lineRule="auto"/>
        <w:widowControl w:val="off"/>
        <w:tabs>
          <w:tab w:val="num" w:pos="1070" w:leader="none"/>
        </w:tabs>
        <w:rPr>
          <w:rFonts w:ascii="Times New Roman" w:hAnsi="Times New Roman"/>
          <w:sz w:val="24"/>
          <w:szCs w:val="24"/>
        </w:rPr>
      </w:pPr>
      <w:r>
        <w:rPr>
          <w:rFonts w:ascii="Times New Roman" w:hAnsi="Times New Roman"/>
          <w:sz w:val="24"/>
          <w:szCs w:val="24"/>
        </w:rPr>
        <w:t xml:space="preserve">Подрядчик обязан предоставить Заказчику информацию об отнесении привлекаемых субподрядных организаций к субъектам малого и среднего предпринимательства </w:t>
      </w:r>
      <w:r>
        <w:rPr>
          <w:rFonts w:ascii="Times New Roman" w:hAnsi="Times New Roman"/>
          <w:sz w:val="24"/>
          <w:szCs w:val="24"/>
        </w:rPr>
        <w:t xml:space="preserve">до заключения Догов</w:t>
      </w:r>
      <w:r>
        <w:rPr>
          <w:rFonts w:ascii="Times New Roman" w:hAnsi="Times New Roman"/>
          <w:sz w:val="24"/>
          <w:szCs w:val="24"/>
        </w:rPr>
        <w:t xml:space="preserve">ора (дополнительного соглашения о привлечении/замене субподрядных организаций).</w:t>
      </w:r>
      <w:r>
        <w:rPr>
          <w:rFonts w:ascii="Times New Roman" w:hAnsi="Times New Roman"/>
          <w:sz w:val="24"/>
          <w:szCs w:val="24"/>
        </w:rPr>
      </w:r>
      <w:r>
        <w:rPr>
          <w:rFonts w:ascii="Times New Roman" w:hAnsi="Times New Roman"/>
          <w:sz w:val="24"/>
          <w:szCs w:val="24"/>
        </w:rPr>
      </w:r>
    </w:p>
    <w:p>
      <w:pPr>
        <w:pStyle w:val="1761"/>
        <w:numPr>
          <w:ilvl w:val="1"/>
          <w:numId w:val="8"/>
        </w:numPr>
        <w:ind w:left="0" w:firstLine="851"/>
        <w:jc w:val="both"/>
        <w:spacing w:after="0" w:line="240" w:lineRule="auto"/>
        <w:widowControl w:val="off"/>
        <w:rPr>
          <w:rFonts w:ascii="Times New Roman" w:hAnsi="Times New Roman"/>
          <w:color w:val="000000"/>
          <w:sz w:val="24"/>
          <w:szCs w:val="24"/>
        </w:rPr>
      </w:pPr>
      <w:r>
        <w:rPr>
          <w:rFonts w:ascii="Times New Roman" w:hAnsi="Times New Roman"/>
          <w:sz w:val="24"/>
          <w:szCs w:val="24"/>
        </w:rPr>
        <w:t xml:space="preserve">Подрядчик обязан предоставлять </w:t>
      </w:r>
      <w:r>
        <w:rPr>
          <w:rFonts w:ascii="Times New Roman" w:hAnsi="Times New Roman"/>
          <w:sz w:val="24"/>
          <w:szCs w:val="24"/>
        </w:rPr>
        <w:t xml:space="preserve">документы</w:t>
      </w:r>
      <w:r>
        <w:rPr>
          <w:rFonts w:ascii="Times New Roman" w:hAnsi="Times New Roman"/>
          <w:sz w:val="24"/>
          <w:szCs w:val="24"/>
        </w:rPr>
        <w:t xml:space="preserve"> подтверждающие приобретение материалов и/или оборудования для выполнения работ/услуг по Договору. В случае использования импортных мате</w:t>
      </w:r>
      <w:r>
        <w:rPr>
          <w:rFonts w:ascii="Times New Roman" w:hAnsi="Times New Roman"/>
          <w:sz w:val="24"/>
          <w:szCs w:val="24"/>
        </w:rPr>
        <w:t xml:space="preserve">риалов и оборудования Подрядчик обязан предоставить Заказчику заверенные копии документов, подтверждающие завершение таможенного оформления. При отказе от предоставления указанных документов Заказчик вправе отказаться от приемки данного товара и/или потреб</w:t>
      </w:r>
      <w:r>
        <w:rPr>
          <w:rFonts w:ascii="Times New Roman" w:hAnsi="Times New Roman"/>
          <w:sz w:val="24"/>
          <w:szCs w:val="24"/>
        </w:rPr>
        <w:t xml:space="preserve">овать, а Подрядчик обязуется уплатить штраф в размере 100 000 (ста тысяч) рублей.</w:t>
      </w:r>
      <w:r>
        <w:rPr>
          <w:rFonts w:ascii="Times New Roman" w:hAnsi="Times New Roman"/>
          <w:color w:val="000000"/>
          <w:sz w:val="24"/>
          <w:szCs w:val="24"/>
        </w:rPr>
      </w:r>
      <w:r>
        <w:rPr>
          <w:rFonts w:ascii="Times New Roman" w:hAnsi="Times New Roman"/>
          <w:color w:val="000000"/>
          <w:sz w:val="24"/>
          <w:szCs w:val="24"/>
        </w:rPr>
      </w:r>
    </w:p>
    <w:p>
      <w:pPr>
        <w:pStyle w:val="1761"/>
        <w:ind w:left="0" w:firstLine="709"/>
        <w:jc w:val="both"/>
        <w:shd w:val="clear" w:color="auto" w:fill="ffffff"/>
        <w:widowControl w:val="off"/>
        <w:rPr>
          <w:rFonts w:ascii="Times New Roman" w:hAnsi="Times New Roman"/>
          <w:sz w:val="24"/>
          <w:szCs w:val="24"/>
        </w:rPr>
      </w:pPr>
      <w:r>
        <w:rPr>
          <w:rFonts w:ascii="Times New Roman" w:hAnsi="Times New Roman"/>
          <w:sz w:val="24"/>
          <w:szCs w:val="24"/>
        </w:rPr>
        <w:t xml:space="preserve">5.39.1.</w:t>
      </w:r>
      <w:r>
        <w:rPr>
          <w:rStyle w:val="1763"/>
          <w:rFonts w:ascii="Times New Roman" w:hAnsi="Times New Roman"/>
          <w:sz w:val="24"/>
          <w:szCs w:val="24"/>
        </w:rPr>
        <w:footnoteReference w:id="15"/>
      </w:r>
      <w:r>
        <w:rPr>
          <w:rFonts w:ascii="Times New Roman" w:hAnsi="Times New Roman"/>
          <w:sz w:val="24"/>
          <w:szCs w:val="24"/>
        </w:rPr>
        <w:t xml:space="preserve"> На момент поставки оборудования, материалов и систем (аппаратно-программные комплексы) Подрядчик обязан предоставить Заказчику положительное заключение аттестационно</w:t>
      </w:r>
      <w:r>
        <w:rPr>
          <w:rFonts w:ascii="Times New Roman" w:hAnsi="Times New Roman"/>
          <w:sz w:val="24"/>
          <w:szCs w:val="24"/>
        </w:rPr>
        <w:t xml:space="preserve">й комиссии ПАО «</w:t>
      </w:r>
      <w:r>
        <w:rPr>
          <w:rFonts w:ascii="Times New Roman" w:hAnsi="Times New Roman"/>
          <w:sz w:val="24"/>
          <w:szCs w:val="24"/>
        </w:rPr>
        <w:t xml:space="preserve">Россети</w:t>
      </w:r>
      <w:r>
        <w:rPr>
          <w:rFonts w:ascii="Times New Roman" w:hAnsi="Times New Roman"/>
          <w:sz w:val="24"/>
          <w:szCs w:val="24"/>
        </w:rPr>
        <w:t xml:space="preserve">» или, в порядке исключения, протокол комиссии ПАО «</w:t>
      </w:r>
      <w:r>
        <w:rPr>
          <w:rFonts w:ascii="Times New Roman" w:hAnsi="Times New Roman"/>
          <w:sz w:val="24"/>
          <w:szCs w:val="24"/>
        </w:rPr>
        <w:t xml:space="preserve">Россети</w:t>
      </w:r>
      <w:r>
        <w:rPr>
          <w:rFonts w:ascii="Times New Roman" w:hAnsi="Times New Roman"/>
          <w:sz w:val="24"/>
          <w:szCs w:val="24"/>
        </w:rPr>
        <w:t xml:space="preserve"> Ленэнерго» по допуску оборудования, материалов и систем с решением о допуске к применению неаттестованной продукции (на период прохождения аттестации при условии наличия дей</w:t>
      </w:r>
      <w:r>
        <w:rPr>
          <w:rFonts w:ascii="Times New Roman" w:hAnsi="Times New Roman"/>
          <w:sz w:val="24"/>
          <w:szCs w:val="24"/>
        </w:rPr>
        <w:t xml:space="preserve">ствующего договора с ПАО «</w:t>
      </w:r>
      <w:r>
        <w:rPr>
          <w:rFonts w:ascii="Times New Roman" w:hAnsi="Times New Roman"/>
          <w:sz w:val="24"/>
          <w:szCs w:val="24"/>
        </w:rPr>
        <w:t xml:space="preserve">Россети</w:t>
      </w:r>
      <w:r>
        <w:rPr>
          <w:rFonts w:ascii="Times New Roman" w:hAnsi="Times New Roman"/>
          <w:sz w:val="24"/>
          <w:szCs w:val="24"/>
        </w:rPr>
        <w:t xml:space="preserve">» на проведение проверки качества (аттестации) данной продукции) согласно Методики ПАО «</w:t>
      </w:r>
      <w:r>
        <w:rPr>
          <w:rFonts w:ascii="Times New Roman" w:hAnsi="Times New Roman"/>
          <w:sz w:val="24"/>
          <w:szCs w:val="24"/>
        </w:rPr>
        <w:t xml:space="preserve">Россети</w:t>
      </w:r>
      <w:r>
        <w:rPr>
          <w:rFonts w:ascii="Times New Roman" w:hAnsi="Times New Roman"/>
          <w:sz w:val="24"/>
          <w:szCs w:val="24"/>
        </w:rPr>
        <w:t xml:space="preserve">», расположенной на официальном сайте ПАО «</w:t>
      </w:r>
      <w:r>
        <w:rPr>
          <w:rFonts w:ascii="Times New Roman" w:hAnsi="Times New Roman"/>
          <w:sz w:val="24"/>
          <w:szCs w:val="24"/>
        </w:rPr>
        <w:t xml:space="preserve">Россети</w:t>
      </w:r>
      <w:r>
        <w:rPr>
          <w:rFonts w:ascii="Times New Roman" w:hAnsi="Times New Roman"/>
          <w:sz w:val="24"/>
          <w:szCs w:val="24"/>
        </w:rPr>
        <w:t xml:space="preserve">» в информационно-коммуникационной сети Интернет по адресу: https://www.rosset</w:t>
      </w:r>
      <w:r>
        <w:rPr>
          <w:rFonts w:ascii="Times New Roman" w:hAnsi="Times New Roman"/>
          <w:sz w:val="24"/>
          <w:szCs w:val="24"/>
        </w:rPr>
        <w:t xml:space="preserve">i.ru/suppliers/technical-policy/equipment-quality-control/, проведения проверки качества (аттестации) оборудования, материалов и систем в электросетевом комплексе». </w:t>
      </w:r>
      <w:r>
        <w:rPr>
          <w:rFonts w:ascii="Times New Roman" w:hAnsi="Times New Roman"/>
          <w:sz w:val="24"/>
          <w:szCs w:val="24"/>
        </w:rPr>
      </w:r>
      <w:r>
        <w:rPr>
          <w:rFonts w:ascii="Times New Roman" w:hAnsi="Times New Roman"/>
          <w:sz w:val="24"/>
          <w:szCs w:val="24"/>
        </w:rPr>
      </w:r>
    </w:p>
    <w:p>
      <w:pPr>
        <w:pStyle w:val="1761"/>
        <w:ind w:left="0" w:firstLine="709"/>
        <w:jc w:val="both"/>
        <w:shd w:val="clear" w:color="auto" w:fill="ffffff"/>
        <w:widowControl w:val="off"/>
        <w:rPr>
          <w:rFonts w:ascii="Times New Roman" w:hAnsi="Times New Roman"/>
          <w:sz w:val="24"/>
          <w:szCs w:val="24"/>
        </w:rPr>
      </w:pPr>
      <w:r>
        <w:rPr>
          <w:rFonts w:ascii="Times New Roman" w:hAnsi="Times New Roman"/>
          <w:sz w:val="24"/>
          <w:szCs w:val="24"/>
        </w:rPr>
        <w:t xml:space="preserve">Порядок получения положительного решения комиссии ПАО «</w:t>
      </w:r>
      <w:r>
        <w:rPr>
          <w:rFonts w:ascii="Times New Roman" w:hAnsi="Times New Roman"/>
          <w:sz w:val="24"/>
          <w:szCs w:val="24"/>
        </w:rPr>
        <w:t xml:space="preserve">Россети</w:t>
      </w:r>
      <w:r>
        <w:rPr>
          <w:rFonts w:ascii="Times New Roman" w:hAnsi="Times New Roman"/>
          <w:sz w:val="24"/>
          <w:szCs w:val="24"/>
        </w:rPr>
        <w:t xml:space="preserve"> Ленэнерго» по допуску к при</w:t>
      </w:r>
      <w:r>
        <w:rPr>
          <w:rFonts w:ascii="Times New Roman" w:hAnsi="Times New Roman"/>
          <w:sz w:val="24"/>
          <w:szCs w:val="24"/>
        </w:rPr>
        <w:t xml:space="preserve">менению неаттестованного оборудования (на период прохождения аттестации при условии наличия действующего договора с ПАО «</w:t>
      </w:r>
      <w:r>
        <w:rPr>
          <w:rFonts w:ascii="Times New Roman" w:hAnsi="Times New Roman"/>
          <w:sz w:val="24"/>
          <w:szCs w:val="24"/>
        </w:rPr>
        <w:t xml:space="preserve">Россети</w:t>
      </w:r>
      <w:r>
        <w:rPr>
          <w:rFonts w:ascii="Times New Roman" w:hAnsi="Times New Roman"/>
          <w:sz w:val="24"/>
          <w:szCs w:val="24"/>
        </w:rPr>
        <w:t xml:space="preserve">» на проведение проверки качества (аттестации) данной продукции) размещен на официальном сайте ПАО «</w:t>
      </w:r>
      <w:r>
        <w:rPr>
          <w:rFonts w:ascii="Times New Roman" w:hAnsi="Times New Roman"/>
          <w:sz w:val="24"/>
          <w:szCs w:val="24"/>
        </w:rPr>
        <w:t xml:space="preserve">Россети</w:t>
      </w:r>
      <w:r>
        <w:rPr>
          <w:rFonts w:ascii="Times New Roman" w:hAnsi="Times New Roman"/>
          <w:sz w:val="24"/>
          <w:szCs w:val="24"/>
        </w:rPr>
        <w:t xml:space="preserve"> Ленэнерго» в информа</w:t>
      </w:r>
      <w:r>
        <w:rPr>
          <w:rFonts w:ascii="Times New Roman" w:hAnsi="Times New Roman"/>
          <w:sz w:val="24"/>
          <w:szCs w:val="24"/>
        </w:rPr>
        <w:t xml:space="preserve">ционно-коммуникационной сети Интернет по адресу:                                                                                                                             https://rosseti-lenenergo.ru/about/osnovnay_deiatelnost/tehnicheskay_politika/.</w:t>
      </w:r>
      <w:r>
        <w:rPr>
          <w:rFonts w:ascii="Times New Roman" w:hAnsi="Times New Roman"/>
          <w:sz w:val="24"/>
          <w:szCs w:val="24"/>
        </w:rPr>
      </w:r>
      <w:r>
        <w:rPr>
          <w:rFonts w:ascii="Times New Roman" w:hAnsi="Times New Roman"/>
          <w:sz w:val="24"/>
          <w:szCs w:val="24"/>
        </w:rPr>
      </w:r>
    </w:p>
    <w:p>
      <w:pPr>
        <w:pStyle w:val="1761"/>
        <w:ind w:left="0" w:firstLine="709"/>
        <w:jc w:val="both"/>
        <w:shd w:val="clear" w:color="auto" w:fill="ffffff"/>
        <w:widowControl w:val="off"/>
        <w:rPr>
          <w:rFonts w:ascii="Times New Roman" w:hAnsi="Times New Roman"/>
          <w:sz w:val="24"/>
          <w:szCs w:val="24"/>
          <w:highlight w:val="white"/>
        </w:rPr>
      </w:pPr>
      <w:r>
        <w:rPr>
          <w:rFonts w:ascii="Times New Roman" w:hAnsi="Times New Roman"/>
          <w:sz w:val="24"/>
          <w:szCs w:val="24"/>
        </w:rPr>
        <w:t xml:space="preserve">В с</w:t>
      </w:r>
      <w:r>
        <w:rPr>
          <w:rFonts w:ascii="Times New Roman" w:hAnsi="Times New Roman"/>
          <w:sz w:val="24"/>
          <w:szCs w:val="24"/>
        </w:rPr>
        <w:t xml:space="preserve">лучае не представления Подрядчиком на момент поставки оборудования, материалов и систем (аппаратно-программные комплексы) положительного заключения аттестационной комиссии ПАО «</w:t>
      </w:r>
      <w:r>
        <w:rPr>
          <w:rFonts w:ascii="Times New Roman" w:hAnsi="Times New Roman"/>
          <w:sz w:val="24"/>
          <w:szCs w:val="24"/>
        </w:rPr>
        <w:t xml:space="preserve">Россети</w:t>
      </w:r>
      <w:r>
        <w:rPr>
          <w:rFonts w:ascii="Times New Roman" w:hAnsi="Times New Roman"/>
          <w:sz w:val="24"/>
          <w:szCs w:val="24"/>
        </w:rPr>
        <w:t xml:space="preserve">» или в случае наличия отрицательного решения комиссии ПАО «</w:t>
      </w:r>
      <w:r>
        <w:rPr>
          <w:rFonts w:ascii="Times New Roman" w:hAnsi="Times New Roman"/>
          <w:sz w:val="24"/>
          <w:szCs w:val="24"/>
        </w:rPr>
        <w:t xml:space="preserve">Россети</w:t>
      </w:r>
      <w:r>
        <w:rPr>
          <w:rFonts w:ascii="Times New Roman" w:hAnsi="Times New Roman"/>
          <w:sz w:val="24"/>
          <w:szCs w:val="24"/>
        </w:rPr>
        <w:t xml:space="preserve"> Ленэ</w:t>
      </w:r>
      <w:r>
        <w:rPr>
          <w:rFonts w:ascii="Times New Roman" w:hAnsi="Times New Roman"/>
          <w:sz w:val="24"/>
          <w:szCs w:val="24"/>
        </w:rPr>
        <w:t xml:space="preserve">нерго» по допуску к применению неаттестованного оборудования, Заказчик оформляет отказ в приемке данного оборудования у Подрядчика с возложением ответственности на Подрядчика и применением штрафных санкций в соответств</w:t>
      </w:r>
      <w:r>
        <w:rPr>
          <w:rFonts w:ascii="Times New Roman" w:hAnsi="Times New Roman"/>
          <w:sz w:val="24"/>
          <w:szCs w:val="24"/>
          <w:highlight w:val="white"/>
        </w:rPr>
        <w:t xml:space="preserve">ии с разделом Договора «Ответственност</w:t>
      </w:r>
      <w:r>
        <w:rPr>
          <w:rFonts w:ascii="Times New Roman" w:hAnsi="Times New Roman"/>
          <w:sz w:val="24"/>
          <w:szCs w:val="24"/>
          <w:highlight w:val="white"/>
        </w:rPr>
        <w:t xml:space="preserve">ь сторон».</w:t>
      </w:r>
      <w:r>
        <w:rPr>
          <w:rFonts w:ascii="Times New Roman" w:hAnsi="Times New Roman"/>
          <w:sz w:val="24"/>
          <w:szCs w:val="24"/>
          <w:highlight w:val="white"/>
        </w:rPr>
      </w:r>
      <w:r>
        <w:rPr>
          <w:rFonts w:ascii="Times New Roman" w:hAnsi="Times New Roman"/>
          <w:sz w:val="24"/>
          <w:szCs w:val="24"/>
          <w:highlight w:val="white"/>
        </w:rPr>
      </w:r>
    </w:p>
    <w:p>
      <w:pPr>
        <w:ind w:firstLine="709"/>
        <w:jc w:val="both"/>
        <w:rPr>
          <w:highlight w:val="white"/>
        </w:rPr>
      </w:pPr>
      <w:r>
        <w:rPr>
          <w:highlight w:val="white"/>
        </w:rPr>
        <w:t xml:space="preserve">5.39.2. </w:t>
      </w:r>
      <w:r>
        <w:rPr>
          <w:highlight w:val="white"/>
        </w:rPr>
        <w:t xml:space="preserve">Подрядчик обязан до начала выполнения работ ознакомился с Положением по организации и осуществлению входного контроля продукции для строительства и реконструкции объектов электросетевого комплекса ПАО «</w:t>
      </w:r>
      <w:r>
        <w:rPr>
          <w:highlight w:val="white"/>
        </w:rPr>
        <w:t xml:space="preserve">Россети</w:t>
      </w:r>
      <w:r>
        <w:rPr>
          <w:highlight w:val="white"/>
        </w:rPr>
        <w:t xml:space="preserve"> Ленэнерго», размещенном на </w:t>
      </w:r>
      <w:r>
        <w:rPr>
          <w:highlight w:val="white"/>
        </w:rPr>
        <w:t xml:space="preserve">сайте Общества по адресу </w:t>
      </w:r>
      <w:hyperlink r:id="rId18" w:tooltip="https://rosseti-lenenergo.ru/tenders/management/" w:history="1">
        <w:r>
          <w:rPr>
            <w:color w:val="0000ff"/>
            <w:highlight w:val="white"/>
            <w:u w:val="single"/>
            <w:lang w:eastAsia="ar-SA"/>
          </w:rPr>
          <w:t xml:space="preserve">https://rosseti-lenenergo.ru/tenders/management/</w:t>
        </w:r>
      </w:hyperlink>
      <w:r>
        <w:rPr>
          <w:highlight w:val="white"/>
        </w:rPr>
        <w:t xml:space="preserve">, его содержанием и при выполнении работ обязуется исполнять его требования в части, касающейся Подрядчика.</w:t>
      </w:r>
      <w:r>
        <w:rPr>
          <w:highlight w:val="white"/>
        </w:rPr>
      </w:r>
      <w:r>
        <w:rPr>
          <w:highlight w:val="white"/>
        </w:rPr>
      </w:r>
    </w:p>
    <w:p>
      <w:pPr>
        <w:pStyle w:val="1761"/>
        <w:ind w:left="0" w:firstLine="709"/>
        <w:jc w:val="both"/>
        <w:shd w:val="clear" w:color="auto" w:fill="ffffff"/>
        <w:widowControl w:val="off"/>
        <w:rPr>
          <w:rFonts w:ascii="Times New Roman" w:hAnsi="Times New Roman"/>
          <w:sz w:val="24"/>
          <w:szCs w:val="24"/>
          <w:highlight w:val="white"/>
        </w:rPr>
      </w:pPr>
      <w:r>
        <w:rPr>
          <w:rFonts w:ascii="Times New Roman" w:hAnsi="Times New Roman"/>
          <w:sz w:val="24"/>
          <w:szCs w:val="24"/>
          <w:highlight w:val="white"/>
        </w:rPr>
        <w:t xml:space="preserve">Подрядчик обязуется предоставлять Заказчику акт входного контроля, заполненный по форме Приложения 1 к Положению по организации и осуществлению вход</w:t>
      </w:r>
      <w:r>
        <w:rPr>
          <w:rFonts w:ascii="Times New Roman" w:hAnsi="Times New Roman"/>
          <w:sz w:val="24"/>
          <w:szCs w:val="24"/>
          <w:highlight w:val="white"/>
        </w:rPr>
        <w:t xml:space="preserve">ного контроля продукции для строительства и реконструкции объектов электросетевого комплекса ПАО «</w:t>
      </w:r>
      <w:r>
        <w:rPr>
          <w:rFonts w:ascii="Times New Roman" w:hAnsi="Times New Roman"/>
          <w:sz w:val="24"/>
          <w:szCs w:val="24"/>
          <w:highlight w:val="white"/>
        </w:rPr>
        <w:t xml:space="preserve">Россети</w:t>
      </w:r>
      <w:r>
        <w:rPr>
          <w:rFonts w:ascii="Times New Roman" w:hAnsi="Times New Roman"/>
          <w:sz w:val="24"/>
          <w:szCs w:val="24"/>
          <w:highlight w:val="white"/>
        </w:rPr>
        <w:t xml:space="preserve"> Ленэнерго», не позднее 14 календарных дней с даты его подписания в порядке, установленном Положением по организации и осуществлению входного контроля </w:t>
      </w:r>
      <w:r>
        <w:rPr>
          <w:rFonts w:ascii="Times New Roman" w:hAnsi="Times New Roman"/>
          <w:sz w:val="24"/>
          <w:szCs w:val="24"/>
          <w:highlight w:val="white"/>
        </w:rPr>
        <w:t xml:space="preserve">продукции для строительства и реконструкции объектов электросетевого комплекса ПАО «</w:t>
      </w:r>
      <w:r>
        <w:rPr>
          <w:rFonts w:ascii="Times New Roman" w:hAnsi="Times New Roman"/>
          <w:sz w:val="24"/>
          <w:szCs w:val="24"/>
          <w:highlight w:val="white"/>
        </w:rPr>
        <w:t xml:space="preserve">Россети</w:t>
      </w:r>
      <w:r>
        <w:rPr>
          <w:rFonts w:ascii="Times New Roman" w:hAnsi="Times New Roman"/>
          <w:sz w:val="24"/>
          <w:szCs w:val="24"/>
          <w:highlight w:val="white"/>
        </w:rPr>
        <w:t xml:space="preserve"> Ленэнерго».</w:t>
      </w:r>
      <w:r>
        <w:rPr>
          <w:rFonts w:ascii="Times New Roman" w:hAnsi="Times New Roman"/>
          <w:sz w:val="24"/>
          <w:szCs w:val="24"/>
          <w:highlight w:val="white"/>
        </w:rPr>
      </w:r>
      <w:r>
        <w:rPr>
          <w:rFonts w:ascii="Times New Roman" w:hAnsi="Times New Roman"/>
          <w:sz w:val="24"/>
          <w:szCs w:val="24"/>
          <w:highlight w:val="white"/>
        </w:rPr>
      </w:r>
    </w:p>
    <w:p>
      <w:pPr>
        <w:pStyle w:val="1761"/>
        <w:numPr>
          <w:ilvl w:val="1"/>
          <w:numId w:val="8"/>
        </w:numPr>
        <w:ind w:left="0" w:firstLine="710"/>
        <w:jc w:val="both"/>
        <w:spacing w:after="0" w:line="240" w:lineRule="auto"/>
        <w:shd w:val="clear" w:color="auto" w:fill="ffffff"/>
        <w:widowControl w:val="off"/>
        <w:rPr>
          <w:rFonts w:ascii="Times New Roman" w:hAnsi="Times New Roman"/>
          <w:bCs/>
          <w:iCs/>
          <w:sz w:val="24"/>
          <w:szCs w:val="24"/>
        </w:rPr>
      </w:pPr>
      <w:r>
        <w:rPr>
          <w:rFonts w:ascii="Times New Roman" w:hAnsi="Times New Roman"/>
          <w:bCs/>
          <w:iCs/>
          <w:sz w:val="24"/>
          <w:szCs w:val="24"/>
        </w:rPr>
        <w:t xml:space="preserve">Подрядчик обязуется обеспечить видеонаблюдение</w:t>
      </w:r>
      <w:r>
        <w:rPr>
          <w:rStyle w:val="1763"/>
          <w:rFonts w:ascii="Times New Roman" w:hAnsi="Times New Roman"/>
          <w:bCs/>
          <w:iCs/>
          <w:sz w:val="24"/>
          <w:szCs w:val="24"/>
        </w:rPr>
        <w:footnoteReference w:id="16"/>
      </w:r>
      <w:r>
        <w:rPr>
          <w:rFonts w:ascii="Times New Roman" w:hAnsi="Times New Roman"/>
          <w:bCs/>
          <w:iCs/>
          <w:sz w:val="24"/>
          <w:szCs w:val="24"/>
        </w:rPr>
        <w:t xml:space="preserve"> в режиме реального времени за строительством (реконструкцией) объекта в течение всего периода выполнения</w:t>
      </w:r>
      <w:r>
        <w:rPr>
          <w:rFonts w:ascii="Times New Roman" w:hAnsi="Times New Roman"/>
          <w:bCs/>
          <w:iCs/>
          <w:sz w:val="24"/>
          <w:szCs w:val="24"/>
        </w:rPr>
        <w:t xml:space="preserve"> работ на объекте. Видеотрансляция должна быть обеспечена со стороны Подрядчика </w:t>
      </w:r>
      <w:r>
        <w:rPr>
          <w:rFonts w:ascii="Times New Roman" w:hAnsi="Times New Roman"/>
          <w:bCs/>
          <w:iCs/>
          <w:sz w:val="24"/>
          <w:szCs w:val="24"/>
        </w:rPr>
        <w:br/>
        <w:t xml:space="preserve">за 1 (один) календарный день до фактического начала выполнения работ на объекте </w:t>
      </w:r>
      <w:r>
        <w:rPr>
          <w:rFonts w:ascii="Times New Roman" w:hAnsi="Times New Roman"/>
          <w:bCs/>
          <w:iCs/>
          <w:sz w:val="24"/>
          <w:szCs w:val="24"/>
        </w:rPr>
        <w:br/>
        <w:t xml:space="preserve">и сохраняться до полной приемки Заказчиком всего комплекса работ на объекте.</w:t>
      </w:r>
      <w:r>
        <w:rPr>
          <w:rFonts w:ascii="Times New Roman" w:hAnsi="Times New Roman"/>
          <w:bCs/>
          <w:iCs/>
          <w:sz w:val="24"/>
          <w:szCs w:val="24"/>
        </w:rPr>
      </w:r>
      <w:r>
        <w:rPr>
          <w:rFonts w:ascii="Times New Roman" w:hAnsi="Times New Roman"/>
          <w:bCs/>
          <w:iCs/>
          <w:sz w:val="24"/>
          <w:szCs w:val="24"/>
        </w:rPr>
      </w:r>
    </w:p>
    <w:p>
      <w:pPr>
        <w:pStyle w:val="1761"/>
        <w:ind w:left="0" w:firstLine="720"/>
        <w:jc w:val="both"/>
        <w:spacing w:after="0" w:line="240" w:lineRule="auto"/>
        <w:shd w:val="clear" w:color="auto" w:fill="ffffff"/>
        <w:widowControl w:val="off"/>
        <w:rPr>
          <w:rFonts w:ascii="Times New Roman" w:hAnsi="Times New Roman"/>
          <w:bCs/>
          <w:iCs/>
          <w:sz w:val="24"/>
          <w:szCs w:val="24"/>
        </w:rPr>
      </w:pPr>
      <w:r>
        <w:rPr>
          <w:rFonts w:ascii="Times New Roman" w:hAnsi="Times New Roman"/>
          <w:bCs/>
          <w:iCs/>
          <w:sz w:val="24"/>
          <w:szCs w:val="24"/>
        </w:rPr>
        <w:t xml:space="preserve">Подрядчик обеспечивает потоковую видеотрансляцию  хода строительства объекта </w:t>
      </w:r>
      <w:r>
        <w:rPr>
          <w:rFonts w:ascii="Times New Roman" w:hAnsi="Times New Roman"/>
          <w:bCs/>
          <w:iCs/>
          <w:sz w:val="24"/>
          <w:szCs w:val="24"/>
        </w:rPr>
        <w:br/>
        <w:t xml:space="preserve">с выведением изображения непосредственно на принимающие устройства Заказчика посредством сети «Интернет» в течение 24 часов 7 дней в неделю, без каких-либо перерывов. </w:t>
      </w:r>
      <w:r>
        <w:rPr>
          <w:rFonts w:ascii="Times New Roman" w:hAnsi="Times New Roman"/>
          <w:bCs/>
          <w:iCs/>
          <w:sz w:val="24"/>
          <w:szCs w:val="24"/>
        </w:rPr>
      </w:r>
      <w:r>
        <w:rPr>
          <w:rFonts w:ascii="Times New Roman" w:hAnsi="Times New Roman"/>
          <w:bCs/>
          <w:iCs/>
          <w:sz w:val="24"/>
          <w:szCs w:val="24"/>
        </w:rPr>
      </w:r>
    </w:p>
    <w:p>
      <w:pPr>
        <w:pStyle w:val="1761"/>
        <w:ind w:left="0" w:firstLine="720"/>
        <w:jc w:val="both"/>
        <w:spacing w:after="0" w:line="240" w:lineRule="auto"/>
        <w:shd w:val="clear" w:color="auto" w:fill="ffffff"/>
        <w:widowControl w:val="off"/>
        <w:rPr>
          <w:rFonts w:ascii="Times New Roman" w:hAnsi="Times New Roman"/>
          <w:bCs/>
          <w:iCs/>
          <w:sz w:val="24"/>
          <w:szCs w:val="24"/>
        </w:rPr>
      </w:pPr>
      <w:r>
        <w:rPr>
          <w:rFonts w:ascii="Times New Roman" w:hAnsi="Times New Roman"/>
          <w:bCs/>
          <w:iCs/>
          <w:sz w:val="24"/>
          <w:szCs w:val="24"/>
        </w:rPr>
        <w:t xml:space="preserve">Подрядчик </w:t>
      </w:r>
      <w:r>
        <w:rPr>
          <w:rFonts w:ascii="Times New Roman" w:hAnsi="Times New Roman"/>
          <w:bCs/>
          <w:iCs/>
          <w:sz w:val="24"/>
          <w:szCs w:val="24"/>
        </w:rPr>
        <w:t xml:space="preserve">выполняет все необходимые мероприятия для обеспечения потоковой видеотрансляции хода строительства объекта полным иждивением со своей стороны, без отнесения в последующем каких-либо затрат на Заказчика. После завершения выполнения работ на объекте Подрядчи</w:t>
      </w:r>
      <w:r>
        <w:rPr>
          <w:rFonts w:ascii="Times New Roman" w:hAnsi="Times New Roman"/>
          <w:bCs/>
          <w:iCs/>
          <w:sz w:val="24"/>
          <w:szCs w:val="24"/>
        </w:rPr>
        <w:t xml:space="preserve">к собственными силами и средствами демонтирует оборудование, связанное с видеотрансляцией. </w:t>
      </w:r>
      <w:r>
        <w:rPr>
          <w:rFonts w:ascii="Times New Roman" w:hAnsi="Times New Roman"/>
          <w:bCs/>
          <w:iCs/>
          <w:sz w:val="24"/>
          <w:szCs w:val="24"/>
        </w:rPr>
      </w:r>
      <w:r>
        <w:rPr>
          <w:rFonts w:ascii="Times New Roman" w:hAnsi="Times New Roman"/>
          <w:bCs/>
          <w:iCs/>
          <w:sz w:val="24"/>
          <w:szCs w:val="24"/>
        </w:rPr>
      </w:r>
    </w:p>
    <w:p>
      <w:pPr>
        <w:pStyle w:val="1761"/>
        <w:ind w:left="0" w:firstLine="720"/>
        <w:jc w:val="both"/>
        <w:spacing w:after="0" w:line="240" w:lineRule="auto"/>
        <w:shd w:val="clear" w:color="auto" w:fill="ffffff"/>
        <w:widowControl w:val="off"/>
        <w:rPr>
          <w:rFonts w:ascii="Times New Roman" w:hAnsi="Times New Roman"/>
          <w:bCs/>
          <w:iCs/>
          <w:sz w:val="24"/>
          <w:szCs w:val="24"/>
        </w:rPr>
      </w:pPr>
      <w:r>
        <w:rPr>
          <w:rFonts w:ascii="Times New Roman" w:hAnsi="Times New Roman"/>
          <w:bCs/>
          <w:iCs/>
          <w:sz w:val="24"/>
          <w:szCs w:val="24"/>
        </w:rPr>
        <w:t xml:space="preserve">При обеспечении потоковой видеотрансляции Подрядчик обязуется использовать надлежащим образом сертифицированное и допущенное к использованию на территории Российско</w:t>
      </w:r>
      <w:r>
        <w:rPr>
          <w:rFonts w:ascii="Times New Roman" w:hAnsi="Times New Roman"/>
          <w:bCs/>
          <w:iCs/>
          <w:sz w:val="24"/>
          <w:szCs w:val="24"/>
        </w:rPr>
        <w:t xml:space="preserve">й Федерации оборудование, а также не нарушать права и свободы третьих лиц.  </w:t>
      </w:r>
      <w:r>
        <w:rPr>
          <w:rFonts w:ascii="Times New Roman" w:hAnsi="Times New Roman"/>
          <w:bCs/>
          <w:iCs/>
          <w:sz w:val="24"/>
          <w:szCs w:val="24"/>
        </w:rPr>
      </w:r>
      <w:r>
        <w:rPr>
          <w:rFonts w:ascii="Times New Roman" w:hAnsi="Times New Roman"/>
          <w:bCs/>
          <w:iCs/>
          <w:sz w:val="24"/>
          <w:szCs w:val="24"/>
        </w:rPr>
      </w:r>
    </w:p>
    <w:p>
      <w:pPr>
        <w:pStyle w:val="1761"/>
        <w:numPr>
          <w:ilvl w:val="1"/>
          <w:numId w:val="8"/>
        </w:numPr>
        <w:contextualSpacing w:val="0"/>
        <w:ind w:left="0" w:firstLine="710"/>
        <w:jc w:val="both"/>
        <w:spacing w:after="0" w:line="240" w:lineRule="auto"/>
        <w:shd w:val="clear" w:color="auto" w:fill="ffffff"/>
        <w:widowControl w:val="off"/>
        <w:rPr>
          <w:rFonts w:ascii="Times New Roman" w:hAnsi="Times New Roman"/>
          <w:bCs/>
          <w:i/>
          <w:iCs/>
          <w:sz w:val="24"/>
          <w:szCs w:val="24"/>
        </w:rPr>
      </w:pPr>
      <w:r>
        <w:rPr>
          <w:rFonts w:ascii="Times New Roman" w:hAnsi="Times New Roman"/>
          <w:sz w:val="24"/>
          <w:szCs w:val="24"/>
        </w:rPr>
        <w:t xml:space="preserve">В случаях, </w:t>
      </w:r>
      <w:r>
        <w:rPr>
          <w:rFonts w:ascii="Times New Roman" w:hAnsi="Times New Roman"/>
          <w:sz w:val="24"/>
          <w:szCs w:val="24"/>
        </w:rPr>
        <w:t xml:space="preserve">предусмотренных действующим</w:t>
      </w:r>
      <w:r>
        <w:rPr>
          <w:rFonts w:ascii="Times New Roman" w:hAnsi="Times New Roman"/>
          <w:sz w:val="24"/>
          <w:szCs w:val="24"/>
        </w:rPr>
        <w:t xml:space="preserve"> законодательством РФ, Подрядчик обязуется предоставить Заказчику энергетический паспорт объекта, составленный на основании проектной документ</w:t>
      </w:r>
      <w:r>
        <w:rPr>
          <w:rFonts w:ascii="Times New Roman" w:hAnsi="Times New Roman"/>
          <w:sz w:val="24"/>
          <w:szCs w:val="24"/>
        </w:rPr>
        <w:t xml:space="preserve">ации. </w:t>
      </w:r>
      <w:r>
        <w:rPr>
          <w:rFonts w:ascii="Times New Roman" w:hAnsi="Times New Roman"/>
          <w:bCs/>
          <w:i/>
          <w:iCs/>
          <w:sz w:val="24"/>
          <w:szCs w:val="24"/>
        </w:rPr>
      </w:r>
      <w:r>
        <w:rPr>
          <w:rFonts w:ascii="Times New Roman" w:hAnsi="Times New Roman"/>
          <w:bCs/>
          <w:i/>
          <w:iCs/>
          <w:sz w:val="24"/>
          <w:szCs w:val="24"/>
        </w:rPr>
      </w:r>
    </w:p>
    <w:p>
      <w:pPr>
        <w:ind w:firstLine="851"/>
        <w:jc w:val="both"/>
      </w:pPr>
      <w:r>
        <w:t xml:space="preserve">В случае невыполнения указанной обязанности Заказчик вправе потребовать, </w:t>
      </w:r>
      <w:r>
        <w:br/>
        <w:t xml:space="preserve">а Подрядчик обязуется уплатить штраф в размере 100 000 (сто тысяч) рублей.</w:t>
      </w:r>
      <w:r/>
    </w:p>
    <w:p>
      <w:pPr>
        <w:jc w:val="both"/>
        <w:shd w:val="clear" w:color="auto" w:fill="ffffff"/>
        <w:widowControl w:val="off"/>
      </w:pPr>
      <w:r>
        <w:tab/>
      </w:r>
      <w:r>
        <w:rPr>
          <w:color w:val="000000"/>
        </w:rPr>
        <w:t xml:space="preserve">5.42. </w:t>
      </w:r>
      <w:r>
        <w:t xml:space="preserve">Подрядчик гарантирует, что:</w:t>
      </w:r>
      <w:r/>
    </w:p>
    <w:p>
      <w:pPr>
        <w:ind w:firstLine="709"/>
        <w:jc w:val="both"/>
        <w:shd w:val="clear" w:color="auto" w:fill="ffffff"/>
        <w:widowControl w:val="off"/>
      </w:pPr>
      <w:r>
        <w:t xml:space="preserve">- зарегистрирован в ЕГРЮЛ/ЕГРИП надлежащим образом;</w:t>
      </w:r>
      <w:r/>
    </w:p>
    <w:p>
      <w:pPr>
        <w:ind w:firstLine="709"/>
        <w:jc w:val="both"/>
        <w:shd w:val="clear" w:color="auto" w:fill="ffffff"/>
        <w:widowControl w:val="off"/>
      </w:pPr>
      <w:r>
        <w:t xml:space="preserve">- его исполнительный орган находится и осуществляет функции управления по</w:t>
      </w:r>
      <w:r>
        <w:t xml:space="preserve"> месту регистрации юридического лица и в нем нет дисквалифицированных лиц;</w:t>
      </w:r>
      <w:r/>
    </w:p>
    <w:p>
      <w:pPr>
        <w:ind w:firstLine="709"/>
        <w:jc w:val="both"/>
        <w:shd w:val="clear" w:color="auto" w:fill="ffffff"/>
        <w:widowControl w:val="off"/>
      </w:pPr>
      <w:r>
        <w:t xml:space="preserve">-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w:t>
      </w:r>
      <w:r>
        <w:t xml:space="preserve">лей) принимает все меры должной осмотрительности, чтобы подрядные организации (соисполнители) соответствовали данному требованию;</w:t>
      </w:r>
      <w:r/>
    </w:p>
    <w:p>
      <w:pPr>
        <w:ind w:firstLine="709"/>
        <w:jc w:val="both"/>
        <w:shd w:val="clear" w:color="auto" w:fill="ffffff"/>
        <w:widowControl w:val="off"/>
      </w:pPr>
      <w:r>
        <w:t xml:space="preserve">- располагает лицензиями, необходимыми для осуществления деятельности </w:t>
      </w:r>
      <w:r>
        <w:br/>
        <w:t xml:space="preserve">и исполнения обязательств по Договору, если осуществляе</w:t>
      </w:r>
      <w:r>
        <w:t xml:space="preserve">мая по Договору деятельность является лицензируемой;</w:t>
      </w:r>
      <w:r/>
    </w:p>
    <w:p>
      <w:pPr>
        <w:ind w:firstLine="709"/>
        <w:jc w:val="both"/>
        <w:shd w:val="clear" w:color="auto" w:fill="ffffff"/>
        <w:widowControl w:val="off"/>
      </w:pPr>
      <w:r>
        <w:t xml:space="preserve">- является членом саморегулируемой организации, если осуществляемая по Договору деятельность требует членства в саморегулируемой организации;</w:t>
      </w:r>
      <w:r/>
    </w:p>
    <w:p>
      <w:pPr>
        <w:ind w:firstLine="709"/>
        <w:jc w:val="both"/>
        <w:shd w:val="clear" w:color="auto" w:fill="ffffff"/>
        <w:widowControl w:val="off"/>
      </w:pPr>
      <w:r>
        <w:t xml:space="preserve">- ведет бухгалтерский учет и составляет бухгалтерскую отчетно</w:t>
      </w:r>
      <w:r>
        <w:t xml:space="preserve">сть в соответствии </w:t>
      </w:r>
      <w:r>
        <w:br/>
        <w:t xml:space="preserve">с законодательством Российской Федерации и нормативными правовыми актами </w:t>
      </w:r>
      <w:r>
        <w:br/>
        <w:t xml:space="preserve">по бухгалтерскому учету, представляет годовую бухгалтерскую отчетность в налоговый орган; </w:t>
      </w:r>
      <w:r/>
    </w:p>
    <w:p>
      <w:pPr>
        <w:ind w:firstLine="709"/>
        <w:jc w:val="both"/>
        <w:shd w:val="clear" w:color="auto" w:fill="ffffff"/>
        <w:widowControl w:val="off"/>
      </w:pPr>
      <w:r>
        <w:t xml:space="preserve">- ведет налоговый учет и составляет налоговую отчетность в соответствии</w:t>
      </w:r>
      <w:r>
        <w:t xml:space="preserve"> </w:t>
      </w:r>
      <w:r>
        <w:br/>
        <w:t xml:space="preserve">с законодательством Российской Федерации, субъектов Российской Федерации </w:t>
      </w:r>
      <w:r>
        <w:br/>
        <w:t xml:space="preserve">и нормативными правовыми актами органов местного самоуправления, своевременно </w:t>
      </w:r>
      <w:r>
        <w:br/>
        <w:t xml:space="preserve">и в полном объеме представляет налоговую отчетность в налоговые органы;</w:t>
      </w:r>
      <w:r/>
    </w:p>
    <w:p>
      <w:pPr>
        <w:ind w:firstLine="709"/>
        <w:jc w:val="both"/>
        <w:shd w:val="clear" w:color="auto" w:fill="ffffff"/>
        <w:widowControl w:val="off"/>
      </w:pPr>
      <w:r>
        <w:t xml:space="preserve">- не допускает искажения свед</w:t>
      </w:r>
      <w:r>
        <w:t xml:space="preserve">ений о фактах хозяйственной жизни (совокупности таких фактов) и объектах налогообложения в первичных документах, бухгалтерском </w:t>
      </w:r>
      <w:r>
        <w:br/>
        <w:t xml:space="preserve">и налоговом учете, в бухгалтерской и налоговой отчетности, а также не отражает </w:t>
      </w:r>
      <w:r>
        <w:br/>
        <w:t xml:space="preserve">в бухгалтерском и налоговом учете, в бухгалтерск</w:t>
      </w:r>
      <w:r>
        <w:t xml:space="preserve">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r/>
    </w:p>
    <w:p>
      <w:pPr>
        <w:ind w:firstLine="709"/>
        <w:jc w:val="both"/>
        <w:shd w:val="clear" w:color="auto" w:fill="ffffff"/>
        <w:widowControl w:val="off"/>
      </w:pPr>
      <w:r>
        <w:t xml:space="preserve">- своевременно и в полном объеме уплачивает налоги, сборы и страховые взносы;</w:t>
      </w:r>
      <w:r/>
    </w:p>
    <w:p>
      <w:pPr>
        <w:ind w:firstLine="709"/>
        <w:jc w:val="both"/>
        <w:shd w:val="clear" w:color="auto" w:fill="ffffff"/>
        <w:widowControl w:val="off"/>
      </w:pPr>
      <w:r>
        <w:t xml:space="preserve">- отражает в налоговой отчетности по НДС все суммы НДС, предъявленные Заказчика;</w:t>
      </w:r>
      <w:r/>
    </w:p>
    <w:p>
      <w:pPr>
        <w:ind w:firstLine="709"/>
        <w:jc w:val="both"/>
        <w:shd w:val="clear" w:color="auto" w:fill="ffffff"/>
        <w:widowControl w:val="off"/>
        <w:rPr>
          <w:highlight w:val="none"/>
        </w:rPr>
      </w:pPr>
      <w:r>
        <w:t xml:space="preserve">- лица, подписывающие от его имени первичные документы и счета-фактуры, имеют на это все необходимые полномочия и доверенности.</w:t>
      </w:r>
      <w:r>
        <w:rPr>
          <w:highlight w:val="none"/>
        </w:rPr>
      </w:r>
      <w:r>
        <w:rPr>
          <w:highlight w:val="none"/>
        </w:rPr>
      </w:r>
    </w:p>
    <w:p>
      <w:pPr>
        <w:ind w:firstLine="709"/>
        <w:jc w:val="both"/>
        <w:shd w:val="clear" w:color="auto" w:fill="ffffff"/>
        <w:widowControl w:val="off"/>
        <w:rPr>
          <w:highlight w:val="yellow"/>
        </w:rPr>
      </w:pPr>
      <w:r>
        <w:rPr>
          <w:sz w:val="24"/>
          <w:szCs w:val="24"/>
          <w:highlight w:val="yellow"/>
        </w:rPr>
        <w:t xml:space="preserve">- </w:t>
      </w:r>
      <w:r>
        <w:rPr>
          <w:sz w:val="24"/>
          <w:szCs w:val="24"/>
          <w:highlight w:val="yellow"/>
        </w:rPr>
        <w:t xml:space="preserve">отражает реквизиты прослеживаемости товаров в первичных документах и счет-фактурах, выставленных Заказчику, в соответствии с требованиями законодательства, в случае поставки товаров, подлежащих прослеживаемости.</w:t>
      </w:r>
      <w:r>
        <w:rPr>
          <w:highlight w:val="yellow"/>
        </w:rPr>
      </w:r>
      <w:r>
        <w:rPr>
          <w:highlight w:val="yellow"/>
        </w:rPr>
      </w:r>
    </w:p>
    <w:p>
      <w:pPr>
        <w:ind w:firstLine="709"/>
        <w:jc w:val="both"/>
        <w:shd w:val="clear" w:color="auto" w:fill="ffffff"/>
        <w:widowControl w:val="off"/>
      </w:pPr>
      <w:r>
        <w:rPr>
          <w:sz w:val="24"/>
          <w:szCs w:val="24"/>
          <w:highlight w:val="yellow"/>
        </w:rPr>
      </w:r>
      <w:r>
        <w:rPr>
          <w:sz w:val="24"/>
          <w:szCs w:val="24"/>
          <w:highlight w:val="yellow"/>
        </w:rPr>
        <w:t xml:space="preserve">- информирует Заказчика о признании Подрядчика банкротом, в срок не позднее 10 (десяти) рабочих дней, с даты вступления в законную силу решения арбитражного суда.</w:t>
      </w:r>
      <w:r>
        <w:rPr>
          <w:highlight w:val="none"/>
        </w:rPr>
      </w:r>
      <w:r/>
    </w:p>
    <w:p>
      <w:pPr>
        <w:ind w:firstLine="708"/>
        <w:jc w:val="both"/>
        <w:widowControl w:val="off"/>
        <w:rPr>
          <w:lang w:eastAsia="ar-SA"/>
        </w:rPr>
      </w:pPr>
      <w:r>
        <w:t xml:space="preserve">5.43.</w:t>
      </w:r>
      <w:r>
        <w:rPr>
          <w:lang w:eastAsia="ar-SA"/>
        </w:rPr>
        <w:t xml:space="preserve"> Подрядчик гарантирует, что исполняет требования, установленные постановлением Правительства РФ от 09.11.2022 №2011</w:t>
      </w:r>
      <w:r>
        <w:rPr>
          <w:vertAlign w:val="superscript"/>
          <w:lang w:eastAsia="ar-SA"/>
        </w:rPr>
        <w:footnoteReference w:id="17"/>
      </w:r>
      <w:r>
        <w:rPr>
          <w:lang w:eastAsia="ar-SA"/>
        </w:rPr>
        <w:t xml:space="preserve"> по отношению к физическим лицам, выполняющим работ</w:t>
      </w:r>
      <w:r>
        <w:rPr>
          <w:lang w:eastAsia="ar-SA"/>
        </w:rPr>
        <w:t xml:space="preserve">ы, непосредственно связанные с обеспечением безопасности объектов топливно-энергетического комплекса</w:t>
      </w:r>
      <w:r>
        <w:rPr>
          <w:rStyle w:val="1763"/>
          <w:lang w:eastAsia="ar-SA"/>
        </w:rPr>
        <w:footnoteReference w:id="18"/>
      </w:r>
      <w:r>
        <w:rPr>
          <w:lang w:eastAsia="ar-SA"/>
        </w:rPr>
        <w:t xml:space="preserve">.</w:t>
      </w:r>
      <w:r>
        <w:rPr>
          <w:lang w:eastAsia="ar-SA"/>
        </w:rPr>
      </w:r>
      <w:r>
        <w:rPr>
          <w:lang w:eastAsia="ar-SA"/>
        </w:rPr>
      </w:r>
    </w:p>
    <w:p>
      <w:pPr>
        <w:ind w:firstLine="709"/>
        <w:jc w:val="both"/>
        <w:spacing w:line="276" w:lineRule="auto"/>
        <w:tabs>
          <w:tab w:val="left" w:pos="0" w:leader="none"/>
          <w:tab w:val="left" w:pos="284" w:leader="none"/>
        </w:tabs>
        <w:rPr>
          <w:highlight w:val="white"/>
        </w:rPr>
      </w:pPr>
      <w:r>
        <w:rPr>
          <w:lang w:eastAsia="ar-SA"/>
        </w:rPr>
        <w:t xml:space="preserve">5.44. Подрядчик обязан выполнять требования Правил информационной безопасности Заказчика, утвержденные Заказчиком и представленные в разделе «Устав и вну</w:t>
      </w:r>
      <w:r>
        <w:rPr>
          <w:lang w:eastAsia="ar-SA"/>
        </w:rPr>
        <w:t xml:space="preserve">тренние документы» на официальном сайте ПАО «</w:t>
      </w:r>
      <w:r>
        <w:rPr>
          <w:lang w:eastAsia="ar-SA"/>
        </w:rPr>
        <w:t xml:space="preserve">Россети</w:t>
      </w:r>
      <w:r>
        <w:rPr>
          <w:lang w:eastAsia="ar-SA"/>
        </w:rPr>
        <w:t xml:space="preserve"> Ленэнерго» по адресу: https://rosseti-lenenergo.ru/shareholders/corp/ustav/?part=1 (далее –Правила), в части, касающейся Подрядчика, а также обеспечить их исполнение от субподрядчиков (в случае привлечен</w:t>
      </w:r>
      <w:r>
        <w:rPr>
          <w:lang w:eastAsia="ar-SA"/>
        </w:rPr>
        <w:t xml:space="preserve">ия). В течение одного календарного дня с даты начала исполнения Договора Подрядчик обязан ознакомить своих работников и работников су</w:t>
      </w:r>
      <w:r>
        <w:rPr>
          <w:highlight w:val="white"/>
          <w:lang w:eastAsia="ar-SA"/>
        </w:rPr>
        <w:t xml:space="preserve">бподрядчиков (в случае привлечения) с Правилами и направить листы ознакомления на почту </w:t>
      </w:r>
      <w:r>
        <w:rPr>
          <w:rFonts w:eastAsia="Calibri"/>
          <w:sz w:val="27"/>
          <w:szCs w:val="27"/>
          <w:highlight w:val="white"/>
          <w:lang w:eastAsia="en-US"/>
        </w:rPr>
        <w:t xml:space="preserve">DIB@lenenergo.ru</w:t>
      </w:r>
      <w:r>
        <w:rPr>
          <w:highlight w:val="white"/>
        </w:rPr>
        <w:t xml:space="preserve">.</w:t>
      </w:r>
      <w:r>
        <w:rPr>
          <w:highlight w:val="white"/>
        </w:rPr>
        <w:t xml:space="preserve"> </w:t>
      </w:r>
      <w:r>
        <w:rPr>
          <w:highlight w:val="white"/>
        </w:rPr>
        <w:t xml:space="preserve">Привлечение к исп</w:t>
      </w:r>
      <w:r>
        <w:rPr>
          <w:highlight w:val="white"/>
        </w:rPr>
        <w:t xml:space="preserve">олнению настоящего Договора работников / субподрядчиков / работников субподрядчиков, являющихся иностранными агентами, не допускается.</w:t>
      </w:r>
      <w:r>
        <w:rPr>
          <w:highlight w:val="white"/>
          <w:lang w:eastAsia="ar-SA"/>
        </w:rPr>
        <w:t xml:space="preserve">  В случае внесения Заказчиком изменений в Правила Подрядчик обязан руководствоватьс</w:t>
      </w:r>
      <w:r>
        <w:rPr>
          <w:lang w:eastAsia="ar-SA"/>
        </w:rPr>
        <w:t xml:space="preserve">я актуальными Правилам</w:t>
      </w:r>
      <w:r>
        <w:rPr>
          <w:highlight w:val="white"/>
          <w:lang w:eastAsia="ar-SA"/>
        </w:rPr>
        <w:t xml:space="preserve">и, предоставленн</w:t>
      </w:r>
      <w:r>
        <w:rPr>
          <w:highlight w:val="white"/>
          <w:lang w:eastAsia="ar-SA"/>
        </w:rPr>
        <w:t xml:space="preserve">ыми Заказчиком</w:t>
      </w:r>
      <w:r>
        <w:rPr>
          <w:rStyle w:val="1763"/>
          <w:highlight w:val="white"/>
          <w:lang w:eastAsia="ar-SA"/>
        </w:rPr>
        <w:footnoteReference w:id="19"/>
      </w:r>
      <w:r>
        <w:rPr>
          <w:highlight w:val="white"/>
          <w:lang w:eastAsia="ar-SA"/>
        </w:rPr>
        <w:t xml:space="preserve">.</w:t>
      </w:r>
      <w:r>
        <w:rPr>
          <w:highlight w:val="white"/>
        </w:rPr>
      </w:r>
      <w:r>
        <w:rPr>
          <w:highlight w:val="white"/>
        </w:rPr>
      </w:r>
    </w:p>
    <w:p>
      <w:pPr>
        <w:ind w:firstLine="709"/>
        <w:jc w:val="both"/>
        <w:spacing w:line="276" w:lineRule="auto"/>
        <w:tabs>
          <w:tab w:val="left" w:pos="0" w:leader="none"/>
          <w:tab w:val="left" w:pos="284" w:leader="none"/>
        </w:tabs>
        <w:rPr>
          <w:highlight w:val="white"/>
        </w:rPr>
      </w:pPr>
      <w:r>
        <w:rPr>
          <w:highlight w:val="white"/>
          <w:lang w:eastAsia="ar-SA"/>
        </w:rPr>
        <w:t xml:space="preserve">5.44.1. </w:t>
      </w:r>
      <w:r>
        <w:rPr>
          <w:sz w:val="24"/>
          <w:szCs w:val="24"/>
          <w:highlight w:val="white"/>
        </w:rPr>
        <w:t xml:space="preserve">Подрядчик обязан выполнять требования, изложенные в Прилож</w:t>
      </w:r>
      <w:r>
        <w:rPr>
          <w:sz w:val="24"/>
          <w:szCs w:val="24"/>
          <w:highlight w:val="white"/>
        </w:rPr>
        <w:t xml:space="preserve">ении №18 к настоящему договору, при реализации удаленного доступа работников Подрядчика к ИТ-инфраструктуре ПАО «Россети Ленэнерго»</w:t>
      </w:r>
      <w:r>
        <w:rPr>
          <w:rStyle w:val="1763"/>
          <w:sz w:val="24"/>
          <w:szCs w:val="24"/>
          <w:highlight w:val="white"/>
        </w:rPr>
        <w:footnoteReference w:id="20"/>
      </w:r>
      <w:r>
        <w:rPr>
          <w:sz w:val="24"/>
          <w:szCs w:val="24"/>
          <w:highlight w:val="white"/>
        </w:rPr>
        <w:t xml:space="preserve">.</w:t>
      </w:r>
      <w:r>
        <w:rPr>
          <w:highlight w:val="white"/>
        </w:rPr>
      </w:r>
      <w:r>
        <w:rPr>
          <w:highlight w:val="white"/>
        </w:rPr>
      </w:r>
    </w:p>
    <w:p>
      <w:pPr>
        <w:ind w:firstLine="709"/>
        <w:jc w:val="both"/>
        <w:tabs>
          <w:tab w:val="left" w:pos="0" w:leader="none"/>
          <w:tab w:val="left" w:pos="284" w:leader="none"/>
        </w:tabs>
        <w:rPr>
          <w:lang w:eastAsia="ar-SA"/>
        </w:rPr>
      </w:pPr>
      <w:r>
        <w:rPr>
          <w:lang w:eastAsia="ar-SA"/>
        </w:rPr>
        <w:t xml:space="preserve">5.45. Подрядчик присоединяется к своду правил, установленных организационно-ра</w:t>
      </w:r>
      <w:r>
        <w:rPr>
          <w:lang w:eastAsia="ar-SA"/>
        </w:rPr>
        <w:t xml:space="preserve">спорядительными документами Заказчика, размещенными на сайте Общества по адресу https://rosseti-lenenergo.ru/tenders/management/, а также подтверждает, что при заключении Договора ознакомился с его(их) содержанием и при выполнении работ обязуется исполнять</w:t>
      </w:r>
      <w:r>
        <w:rPr>
          <w:lang w:eastAsia="ar-SA"/>
        </w:rPr>
        <w:t xml:space="preserve"> их требования.</w:t>
      </w:r>
      <w:r>
        <w:rPr>
          <w:lang w:eastAsia="ar-SA"/>
        </w:rPr>
      </w:r>
      <w:r>
        <w:rPr>
          <w:lang w:eastAsia="ar-SA"/>
        </w:rPr>
      </w:r>
    </w:p>
    <w:p>
      <w:pPr>
        <w:ind w:firstLine="709"/>
        <w:jc w:val="both"/>
        <w:tabs>
          <w:tab w:val="left" w:pos="0" w:leader="none"/>
          <w:tab w:val="left" w:pos="284" w:leader="none"/>
        </w:tabs>
        <w:rPr>
          <w:lang w:eastAsia="ar-SA"/>
        </w:rPr>
      </w:pPr>
      <w:r>
        <w:rPr>
          <w:lang w:eastAsia="ar-SA"/>
        </w:rPr>
        <w:t xml:space="preserve">5.45.1. Подрядчик обязуется самостоятельно отслеживать внесение изменений с периодичностью не менее одного раза в рабочий день, при этом, Подрядчик считается надлежащим образом, уведомленным о внесённых изменениях, начиная со следующего раб</w:t>
      </w:r>
      <w:r>
        <w:rPr>
          <w:lang w:eastAsia="ar-SA"/>
        </w:rPr>
        <w:t xml:space="preserve">очего дня опубликования на сайте Общества соответствующего организационно-распорядительного документа.</w:t>
      </w:r>
      <w:r>
        <w:rPr>
          <w:lang w:eastAsia="ar-SA"/>
        </w:rPr>
      </w:r>
      <w:r>
        <w:rPr>
          <w:lang w:eastAsia="ar-SA"/>
        </w:rPr>
      </w:r>
    </w:p>
    <w:p>
      <w:pPr>
        <w:ind w:firstLine="709"/>
        <w:jc w:val="both"/>
        <w:tabs>
          <w:tab w:val="left" w:pos="0" w:leader="none"/>
          <w:tab w:val="left" w:pos="284" w:leader="none"/>
        </w:tabs>
        <w:rPr>
          <w:lang w:eastAsia="ar-SA"/>
        </w:rPr>
      </w:pPr>
      <w:r>
        <w:rPr>
          <w:lang w:eastAsia="ar-SA"/>
        </w:rPr>
        <w:t xml:space="preserve">5.45.2. В случае если при выполнении работ Подрядчик установит, что исполнение обязательств свода общих правил, установленных организационно-распорядител</w:t>
      </w:r>
      <w:r>
        <w:rPr>
          <w:lang w:eastAsia="ar-SA"/>
        </w:rPr>
        <w:t xml:space="preserve">ьными документами Заказчика, размещенных на сайте Общества по адресу https://rosseti-lenenergo.ru/tenders/management/, приведет к невозможности исполнения обязательств Договора и/или Технического задания к нему, а равно приведет к существенному ухудшению р</w:t>
      </w:r>
      <w:r>
        <w:rPr>
          <w:lang w:eastAsia="ar-SA"/>
        </w:rPr>
        <w:t xml:space="preserve">езультата работ, в том числе приведет к срыву срока выполнения работ, Подрядчик обязуется в срок пять рабочих дней с момента, когда такие обстоятельства станут ему известны, уведомить об этом Заказчика и приложить соответствующие обосновывающие документы.</w:t>
      </w:r>
      <w:r>
        <w:rPr>
          <w:lang w:eastAsia="ar-SA"/>
        </w:rPr>
      </w:r>
      <w:r>
        <w:rPr>
          <w:lang w:eastAsia="ar-SA"/>
        </w:rPr>
      </w:r>
    </w:p>
    <w:p>
      <w:pPr>
        <w:ind w:firstLine="709"/>
        <w:jc w:val="both"/>
        <w:tabs>
          <w:tab w:val="left" w:pos="0" w:leader="none"/>
          <w:tab w:val="left" w:pos="284" w:leader="none"/>
        </w:tabs>
        <w:rPr>
          <w:lang w:eastAsia="ar-SA"/>
        </w:rPr>
      </w:pPr>
      <w:r>
        <w:rPr>
          <w:lang w:eastAsia="ar-SA"/>
        </w:rPr>
        <w:t xml:space="preserve">В иных случаях, Подрядчик не известивший Заказчика об указанных выше обстоятельствах либо продолживший работу, не дожидаясь истечения указанного в Договоре срока, не вправе при предъявлении к нему или им к Заказчику соответствующих требований ссылаться на </w:t>
      </w:r>
      <w:r>
        <w:rPr>
          <w:lang w:eastAsia="ar-SA"/>
        </w:rPr>
        <w:t xml:space="preserve">указанные обстоятельства.</w:t>
      </w:r>
      <w:r>
        <w:rPr>
          <w:lang w:eastAsia="ar-SA"/>
        </w:rPr>
      </w:r>
      <w:r>
        <w:rPr>
          <w:lang w:eastAsia="ar-SA"/>
        </w:rPr>
      </w:r>
    </w:p>
    <w:p>
      <w:pPr>
        <w:ind w:firstLine="709"/>
        <w:jc w:val="both"/>
        <w:tabs>
          <w:tab w:val="left" w:pos="0" w:leader="none"/>
          <w:tab w:val="left" w:pos="284" w:leader="none"/>
        </w:tabs>
        <w:rPr>
          <w:highlight w:val="none"/>
          <w:lang w:eastAsia="ar-SA"/>
        </w:rPr>
      </w:pPr>
      <w:r>
        <w:rPr>
          <w:lang w:eastAsia="ar-SA"/>
        </w:rPr>
        <w:t xml:space="preserve">5.46. Подрядчик гарантирует, что соблюдает требования, установленные Федеральным законом от 07.08.2001 № 115-ФЗ «О противодействии легализации (отмыванию) доходов, полученных преступным путем, и финансированию терроризма» и не исп</w:t>
      </w:r>
      <w:r>
        <w:rPr>
          <w:lang w:eastAsia="ar-SA"/>
        </w:rPr>
        <w:t xml:space="preserve">ользует в хозяйственной деятельности финансовые инструменты сомнительного происхождения при осуществлении расчетов по договору.</w:t>
      </w:r>
      <w:r>
        <w:rPr>
          <w:highlight w:val="none"/>
          <w:lang w:eastAsia="ar-SA"/>
        </w:rPr>
      </w:r>
      <w:r>
        <w:rPr>
          <w:highlight w:val="none"/>
          <w:lang w:eastAsia="ar-SA"/>
        </w:rPr>
      </w:r>
    </w:p>
    <w:p>
      <w:pPr>
        <w:jc w:val="both"/>
        <w:shd w:val="clear" w:color="auto" w:fill="ffffff"/>
        <w:widowControl w:val="off"/>
        <w:rPr>
          <w:color w:val="000000"/>
        </w:rPr>
      </w:pPr>
      <w:r>
        <w:rPr>
          <w:color w:val="000000"/>
        </w:rPr>
      </w:r>
      <w:r>
        <w:rPr>
          <w:color w:val="000000"/>
        </w:rPr>
      </w:r>
      <w:r>
        <w:rPr>
          <w:color w:val="000000"/>
        </w:rPr>
      </w:r>
    </w:p>
    <w:p>
      <w:pPr>
        <w:numPr>
          <w:ilvl w:val="0"/>
          <w:numId w:val="8"/>
        </w:numPr>
        <w:ind w:left="0" w:firstLine="851"/>
        <w:jc w:val="center"/>
        <w:rPr>
          <w:b/>
          <w:bCs/>
          <w:color w:val="000000"/>
        </w:rPr>
      </w:pPr>
      <w:r>
        <w:rPr>
          <w:b/>
          <w:bCs/>
          <w:color w:val="000000"/>
        </w:rPr>
        <w:t xml:space="preserve">Порядок сдачи-приемки выполненных работ</w:t>
      </w:r>
      <w:r>
        <w:rPr>
          <w:b/>
          <w:bCs/>
          <w:color w:val="000000"/>
        </w:rPr>
      </w:r>
      <w:r>
        <w:rPr>
          <w:b/>
          <w:bCs/>
          <w:color w:val="000000"/>
        </w:rPr>
      </w:r>
    </w:p>
    <w:p>
      <w:pPr>
        <w:pStyle w:val="1761"/>
        <w:numPr>
          <w:ilvl w:val="0"/>
          <w:numId w:val="5"/>
        </w:numPr>
        <w:ind w:left="0" w:firstLine="567"/>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Сдача-приемка работ по Договору осуществляется поэтапно (ежемесячно) </w:t>
      </w:r>
      <w:r>
        <w:rPr>
          <w:rFonts w:ascii="Times New Roman" w:hAnsi="Times New Roman"/>
          <w:color w:val="000000"/>
          <w:sz w:val="24"/>
          <w:szCs w:val="24"/>
        </w:rPr>
        <w:br/>
        <w:t xml:space="preserve">в соответствии с </w:t>
      </w:r>
      <w:r>
        <w:rPr>
          <w:rFonts w:ascii="Times New Roman" w:hAnsi="Times New Roman"/>
          <w:color w:val="000000"/>
          <w:sz w:val="24"/>
          <w:szCs w:val="24"/>
        </w:rPr>
        <w:t xml:space="preserve">Календарным планом (Приложение № 2 к Договору).</w:t>
      </w:r>
      <w:r>
        <w:rPr>
          <w:rFonts w:ascii="Times New Roman" w:hAnsi="Times New Roman"/>
          <w:color w:val="000000"/>
          <w:sz w:val="24"/>
          <w:szCs w:val="24"/>
        </w:rPr>
      </w:r>
      <w:r>
        <w:rPr>
          <w:rFonts w:ascii="Times New Roman" w:hAnsi="Times New Roman"/>
          <w:color w:val="000000"/>
          <w:sz w:val="24"/>
          <w:szCs w:val="24"/>
        </w:rPr>
      </w:r>
    </w:p>
    <w:p>
      <w:pPr>
        <w:pStyle w:val="1761"/>
        <w:ind w:left="0" w:firstLine="567"/>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а) по проектным и изыскательским работам:</w:t>
      </w:r>
      <w:r>
        <w:rPr>
          <w:rFonts w:ascii="Times New Roman" w:hAnsi="Times New Roman"/>
          <w:color w:val="000000"/>
          <w:sz w:val="24"/>
          <w:szCs w:val="24"/>
        </w:rPr>
      </w:r>
      <w:r>
        <w:rPr>
          <w:rFonts w:ascii="Times New Roman" w:hAnsi="Times New Roman"/>
          <w:color w:val="000000"/>
          <w:sz w:val="24"/>
          <w:szCs w:val="24"/>
        </w:rPr>
      </w:r>
    </w:p>
    <w:p>
      <w:pPr>
        <w:pStyle w:val="1761"/>
        <w:ind w:left="0" w:firstLine="567"/>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Выполнение, предъявленное и принятое в соответствии с Календарным планом выполнения работ, является этапом работ</w:t>
      </w:r>
      <w:r>
        <w:rPr>
          <w:rFonts w:ascii="Times New Roman" w:hAnsi="Times New Roman"/>
          <w:color w:val="000000"/>
          <w:sz w:val="24"/>
          <w:szCs w:val="24"/>
        </w:rPr>
        <w:t xml:space="preserve">. Документальным подтверждением этапа являются: оформленные акты выполненных проектно-изыскательских работ, акта выполненных работ по внесению изменений в представленную Заказчиком проектно-сметную документацию, исполнительные сметы на проектные работы, со</w:t>
      </w:r>
      <w:r>
        <w:rPr>
          <w:rFonts w:ascii="Times New Roman" w:hAnsi="Times New Roman"/>
          <w:color w:val="000000"/>
          <w:sz w:val="24"/>
          <w:szCs w:val="24"/>
        </w:rPr>
        <w:t xml:space="preserve">гласованные Заказчиком.</w:t>
      </w:r>
      <w:r>
        <w:rPr>
          <w:rFonts w:ascii="Times New Roman" w:hAnsi="Times New Roman"/>
          <w:color w:val="000000"/>
          <w:sz w:val="24"/>
          <w:szCs w:val="24"/>
        </w:rPr>
      </w:r>
      <w:r>
        <w:rPr>
          <w:rFonts w:ascii="Times New Roman" w:hAnsi="Times New Roman"/>
          <w:color w:val="000000"/>
          <w:sz w:val="24"/>
          <w:szCs w:val="24"/>
        </w:rPr>
      </w:r>
    </w:p>
    <w:p>
      <w:pPr>
        <w:pStyle w:val="1761"/>
        <w:ind w:left="0" w:firstLine="567"/>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 Подрядчик по итогам выполнения проектных и изыскательских работ по Договору </w:t>
      </w:r>
      <w:r>
        <w:rPr>
          <w:rFonts w:ascii="Times New Roman" w:hAnsi="Times New Roman"/>
          <w:color w:val="000000"/>
          <w:sz w:val="24"/>
          <w:szCs w:val="24"/>
        </w:rPr>
        <w:br/>
        <w:t xml:space="preserve">(в том числе по этапам) направляет Заказчику акт сдачи-приемки проектных </w:t>
      </w:r>
      <w:r>
        <w:rPr>
          <w:rFonts w:ascii="Times New Roman" w:hAnsi="Times New Roman"/>
          <w:color w:val="000000"/>
          <w:sz w:val="24"/>
          <w:szCs w:val="24"/>
        </w:rPr>
        <w:br/>
        <w:t xml:space="preserve">и изыскательских работ, накладную с приложением 4 (четырех) экземпляров разработ</w:t>
      </w:r>
      <w:r>
        <w:rPr>
          <w:rFonts w:ascii="Times New Roman" w:hAnsi="Times New Roman"/>
          <w:color w:val="000000"/>
          <w:sz w:val="24"/>
          <w:szCs w:val="24"/>
        </w:rPr>
        <w:t xml:space="preserve">анной проектно-сметной документации, а также 1 (одного) экземпляра в электронном виде </w:t>
      </w:r>
      <w:r>
        <w:rPr>
          <w:rFonts w:ascii="Times New Roman" w:hAnsi="Times New Roman"/>
          <w:color w:val="000000"/>
          <w:sz w:val="24"/>
          <w:szCs w:val="24"/>
        </w:rPr>
        <w:br/>
        <w:t xml:space="preserve">на носителях типа СD или DVD. Текстовая и графическая части проекта представляются </w:t>
      </w:r>
      <w:r>
        <w:rPr>
          <w:rFonts w:ascii="Times New Roman" w:hAnsi="Times New Roman"/>
          <w:color w:val="000000"/>
          <w:sz w:val="24"/>
          <w:szCs w:val="24"/>
        </w:rPr>
        <w:br/>
        <w:t xml:space="preserve">в стандартных форматах программ MS </w:t>
      </w:r>
      <w:r>
        <w:rPr>
          <w:rFonts w:ascii="Times New Roman" w:hAnsi="Times New Roman"/>
          <w:color w:val="000000"/>
          <w:sz w:val="24"/>
          <w:szCs w:val="24"/>
        </w:rPr>
        <w:t xml:space="preserve">Office</w:t>
      </w:r>
      <w:r>
        <w:rPr>
          <w:rFonts w:ascii="Times New Roman" w:hAnsi="Times New Roman"/>
          <w:color w:val="000000"/>
          <w:sz w:val="24"/>
          <w:szCs w:val="24"/>
        </w:rPr>
        <w:t xml:space="preserve">, </w:t>
      </w:r>
      <w:r>
        <w:rPr>
          <w:rFonts w:ascii="Times New Roman" w:hAnsi="Times New Roman"/>
          <w:color w:val="000000"/>
          <w:sz w:val="24"/>
          <w:szCs w:val="24"/>
        </w:rPr>
        <w:t xml:space="preserve">AutoCAD</w:t>
      </w:r>
      <w:r>
        <w:rPr>
          <w:rFonts w:ascii="Times New Roman" w:hAnsi="Times New Roman"/>
          <w:color w:val="000000"/>
          <w:sz w:val="24"/>
          <w:szCs w:val="24"/>
        </w:rPr>
        <w:t xml:space="preserve"> и </w:t>
      </w:r>
      <w:r>
        <w:rPr>
          <w:rFonts w:ascii="Times New Roman" w:hAnsi="Times New Roman"/>
          <w:color w:val="000000"/>
          <w:sz w:val="24"/>
          <w:szCs w:val="24"/>
        </w:rPr>
        <w:t xml:space="preserve">Acrobat</w:t>
      </w:r>
      <w:r>
        <w:rPr>
          <w:rFonts w:ascii="Times New Roman" w:hAnsi="Times New Roman"/>
          <w:color w:val="000000"/>
          <w:sz w:val="24"/>
          <w:szCs w:val="24"/>
        </w:rPr>
        <w:t xml:space="preserve"> </w:t>
      </w:r>
      <w:r>
        <w:rPr>
          <w:rFonts w:ascii="Times New Roman" w:hAnsi="Times New Roman"/>
          <w:color w:val="000000"/>
          <w:sz w:val="24"/>
          <w:szCs w:val="24"/>
        </w:rPr>
        <w:t xml:space="preserve">Reader</w:t>
      </w:r>
      <w:r>
        <w:rPr>
          <w:rFonts w:ascii="Times New Roman" w:hAnsi="Times New Roman"/>
          <w:color w:val="000000"/>
          <w:sz w:val="24"/>
          <w:szCs w:val="24"/>
        </w:rPr>
        <w:t xml:space="preserve">.</w:t>
      </w:r>
      <w:r>
        <w:rPr>
          <w:rFonts w:ascii="Times New Roman" w:hAnsi="Times New Roman"/>
          <w:color w:val="000000"/>
          <w:sz w:val="24"/>
          <w:szCs w:val="24"/>
        </w:rPr>
      </w:r>
      <w:r>
        <w:rPr>
          <w:rFonts w:ascii="Times New Roman" w:hAnsi="Times New Roman"/>
          <w:color w:val="000000"/>
          <w:sz w:val="24"/>
          <w:szCs w:val="24"/>
        </w:rPr>
      </w:r>
    </w:p>
    <w:p>
      <w:pPr>
        <w:pStyle w:val="1761"/>
        <w:ind w:left="0" w:firstLine="567"/>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В случае необход</w:t>
      </w:r>
      <w:r>
        <w:rPr>
          <w:rFonts w:ascii="Times New Roman" w:hAnsi="Times New Roman"/>
          <w:color w:val="000000"/>
          <w:sz w:val="24"/>
          <w:szCs w:val="24"/>
        </w:rPr>
        <w:t xml:space="preserve">имости, подтвержденной техническим заданием, в составе </w:t>
      </w:r>
      <w:r>
        <w:rPr>
          <w:rFonts w:ascii="Times New Roman" w:hAnsi="Times New Roman"/>
          <w:color w:val="000000"/>
          <w:sz w:val="24"/>
          <w:szCs w:val="24"/>
        </w:rPr>
        <w:br/>
        <w:t xml:space="preserve">проектно-сметной документации Подрядчик предоставляет материалы инженерных изысканий, на основании которых выполнялся проект:</w:t>
      </w:r>
      <w:r>
        <w:rPr>
          <w:rFonts w:ascii="Times New Roman" w:hAnsi="Times New Roman"/>
          <w:color w:val="000000"/>
          <w:sz w:val="24"/>
          <w:szCs w:val="24"/>
        </w:rPr>
      </w:r>
      <w:r>
        <w:rPr>
          <w:rFonts w:ascii="Times New Roman" w:hAnsi="Times New Roman"/>
          <w:color w:val="000000"/>
          <w:sz w:val="24"/>
          <w:szCs w:val="24"/>
        </w:rPr>
      </w:r>
    </w:p>
    <w:p>
      <w:pPr>
        <w:pStyle w:val="1761"/>
        <w:ind w:left="0" w:firstLine="567"/>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 материалы инженерно-геодезических изысканий (лавсан со штампом с подпись</w:t>
      </w:r>
      <w:r>
        <w:rPr>
          <w:rFonts w:ascii="Times New Roman" w:hAnsi="Times New Roman"/>
          <w:color w:val="000000"/>
          <w:sz w:val="24"/>
          <w:szCs w:val="24"/>
        </w:rPr>
        <w:t xml:space="preserve">ю исполнителей изысканий, электронная версия съемки, экспликация колодцев, копия договора с топографо-геодезической организацией, выполнявшей работы);</w:t>
      </w:r>
      <w:r>
        <w:rPr>
          <w:rFonts w:ascii="Times New Roman" w:hAnsi="Times New Roman"/>
          <w:color w:val="000000"/>
          <w:sz w:val="24"/>
          <w:szCs w:val="24"/>
        </w:rPr>
      </w:r>
      <w:r>
        <w:rPr>
          <w:rFonts w:ascii="Times New Roman" w:hAnsi="Times New Roman"/>
          <w:color w:val="000000"/>
          <w:sz w:val="24"/>
          <w:szCs w:val="24"/>
        </w:rPr>
      </w:r>
    </w:p>
    <w:p>
      <w:pPr>
        <w:pStyle w:val="1761"/>
        <w:ind w:left="0" w:firstLine="567"/>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 материалы инженерно-геологических изысканий (отчет о геологических изысканиях, копия договора с организ</w:t>
      </w:r>
      <w:r>
        <w:rPr>
          <w:rFonts w:ascii="Times New Roman" w:hAnsi="Times New Roman"/>
          <w:color w:val="000000"/>
          <w:sz w:val="24"/>
          <w:szCs w:val="24"/>
        </w:rPr>
        <w:t xml:space="preserve">ацией, выполнявшей работы);</w:t>
      </w:r>
      <w:r>
        <w:rPr>
          <w:rFonts w:ascii="Times New Roman" w:hAnsi="Times New Roman"/>
          <w:color w:val="000000"/>
          <w:sz w:val="24"/>
          <w:szCs w:val="24"/>
        </w:rPr>
      </w:r>
      <w:r>
        <w:rPr>
          <w:rFonts w:ascii="Times New Roman" w:hAnsi="Times New Roman"/>
          <w:color w:val="000000"/>
          <w:sz w:val="24"/>
          <w:szCs w:val="24"/>
        </w:rPr>
      </w:r>
    </w:p>
    <w:p>
      <w:pPr>
        <w:pStyle w:val="1761"/>
        <w:ind w:left="0" w:firstLine="567"/>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 материалы инженерно-экологических изысканий (экспертные заключения </w:t>
      </w:r>
      <w:r>
        <w:rPr>
          <w:rFonts w:ascii="Times New Roman" w:hAnsi="Times New Roman"/>
          <w:color w:val="000000"/>
          <w:sz w:val="24"/>
          <w:szCs w:val="24"/>
        </w:rPr>
        <w:br/>
        <w:t xml:space="preserve">по проведенным изысканиям с протоколами (анализ грунтов, радиологический анализ, исследования физ. факторов), копия договора с организацией, выполнявшей работ</w:t>
      </w:r>
      <w:r>
        <w:rPr>
          <w:rFonts w:ascii="Times New Roman" w:hAnsi="Times New Roman"/>
          <w:color w:val="000000"/>
          <w:sz w:val="24"/>
          <w:szCs w:val="24"/>
        </w:rPr>
        <w:t xml:space="preserve">ы).</w:t>
      </w:r>
      <w:r>
        <w:rPr>
          <w:rFonts w:ascii="Times New Roman" w:hAnsi="Times New Roman"/>
          <w:color w:val="000000"/>
          <w:sz w:val="24"/>
          <w:szCs w:val="24"/>
        </w:rPr>
      </w:r>
      <w:r>
        <w:rPr>
          <w:rFonts w:ascii="Times New Roman" w:hAnsi="Times New Roman"/>
          <w:color w:val="000000"/>
          <w:sz w:val="24"/>
          <w:szCs w:val="24"/>
        </w:rPr>
      </w:r>
    </w:p>
    <w:p>
      <w:pPr>
        <w:pStyle w:val="1761"/>
        <w:ind w:left="0" w:firstLine="567"/>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Сметная документация предоставляется на бумажном носителе и в электронном виде </w:t>
      </w:r>
      <w:r>
        <w:rPr>
          <w:rFonts w:ascii="Times New Roman" w:hAnsi="Times New Roman"/>
          <w:color w:val="000000"/>
          <w:sz w:val="24"/>
          <w:szCs w:val="24"/>
        </w:rPr>
        <w:br/>
        <w:t xml:space="preserve">в одном из следующих форматов, экспортированных (переведенных) напрямую из сметной программы:</w:t>
      </w:r>
      <w:r>
        <w:rPr>
          <w:rFonts w:ascii="Times New Roman" w:hAnsi="Times New Roman"/>
          <w:color w:val="000000"/>
          <w:sz w:val="24"/>
          <w:szCs w:val="24"/>
        </w:rPr>
      </w:r>
      <w:r>
        <w:rPr>
          <w:rFonts w:ascii="Times New Roman" w:hAnsi="Times New Roman"/>
          <w:color w:val="000000"/>
          <w:sz w:val="24"/>
          <w:szCs w:val="24"/>
        </w:rPr>
      </w:r>
    </w:p>
    <w:p>
      <w:pPr>
        <w:pStyle w:val="1761"/>
        <w:ind w:left="0" w:firstLine="567"/>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 гранд-смета </w:t>
      </w:r>
      <w:r>
        <w:rPr>
          <w:rFonts w:ascii="Times New Roman" w:hAnsi="Times New Roman"/>
          <w:color w:val="000000"/>
          <w:sz w:val="24"/>
          <w:szCs w:val="24"/>
        </w:rPr>
        <w:t xml:space="preserve">(.</w:t>
      </w:r>
      <w:r>
        <w:rPr>
          <w:rFonts w:ascii="Times New Roman" w:hAnsi="Times New Roman"/>
          <w:color w:val="000000"/>
          <w:sz w:val="24"/>
          <w:szCs w:val="24"/>
        </w:rPr>
        <w:t xml:space="preserve">gsf</w:t>
      </w:r>
      <w:r>
        <w:rPr>
          <w:rFonts w:ascii="Times New Roman" w:hAnsi="Times New Roman"/>
          <w:color w:val="000000"/>
          <w:sz w:val="24"/>
          <w:szCs w:val="24"/>
        </w:rPr>
        <w:t xml:space="preserve">) или «А0»;</w:t>
      </w:r>
      <w:r>
        <w:rPr>
          <w:rFonts w:ascii="Times New Roman" w:hAnsi="Times New Roman"/>
          <w:color w:val="000000"/>
          <w:sz w:val="24"/>
          <w:szCs w:val="24"/>
        </w:rPr>
      </w:r>
      <w:r>
        <w:rPr>
          <w:rFonts w:ascii="Times New Roman" w:hAnsi="Times New Roman"/>
          <w:color w:val="000000"/>
          <w:sz w:val="24"/>
          <w:szCs w:val="24"/>
        </w:rPr>
      </w:r>
    </w:p>
    <w:p>
      <w:pPr>
        <w:pStyle w:val="1761"/>
        <w:ind w:left="0" w:firstLine="567"/>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 универсальный формат (.</w:t>
      </w:r>
      <w:r>
        <w:rPr>
          <w:rFonts w:ascii="Times New Roman" w:hAnsi="Times New Roman"/>
          <w:color w:val="000000"/>
          <w:sz w:val="24"/>
          <w:szCs w:val="24"/>
        </w:rPr>
        <w:t xml:space="preserve">xml</w:t>
      </w:r>
      <w:r>
        <w:rPr>
          <w:rFonts w:ascii="Times New Roman" w:hAnsi="Times New Roman"/>
          <w:color w:val="000000"/>
          <w:sz w:val="24"/>
          <w:szCs w:val="24"/>
        </w:rPr>
        <w:t xml:space="preserve">);</w:t>
      </w:r>
      <w:r>
        <w:rPr>
          <w:rFonts w:ascii="Times New Roman" w:hAnsi="Times New Roman"/>
          <w:color w:val="000000"/>
          <w:sz w:val="24"/>
          <w:szCs w:val="24"/>
        </w:rPr>
      </w:r>
      <w:r>
        <w:rPr>
          <w:rFonts w:ascii="Times New Roman" w:hAnsi="Times New Roman"/>
          <w:color w:val="000000"/>
          <w:sz w:val="24"/>
          <w:szCs w:val="24"/>
        </w:rPr>
      </w:r>
    </w:p>
    <w:p>
      <w:pPr>
        <w:pStyle w:val="1761"/>
        <w:ind w:left="0" w:firstLine="567"/>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 единый блок об</w:t>
      </w:r>
      <w:r>
        <w:rPr>
          <w:rFonts w:ascii="Times New Roman" w:hAnsi="Times New Roman"/>
          <w:color w:val="000000"/>
          <w:sz w:val="24"/>
          <w:szCs w:val="24"/>
        </w:rPr>
        <w:t xml:space="preserve">мена АРПС 1.10 </w:t>
      </w:r>
      <w:r>
        <w:rPr>
          <w:rFonts w:ascii="Times New Roman" w:hAnsi="Times New Roman"/>
          <w:color w:val="000000"/>
          <w:sz w:val="24"/>
          <w:szCs w:val="24"/>
        </w:rPr>
        <w:t xml:space="preserve">(.</w:t>
      </w:r>
      <w:r>
        <w:rPr>
          <w:rFonts w:ascii="Times New Roman" w:hAnsi="Times New Roman"/>
          <w:color w:val="000000"/>
          <w:sz w:val="24"/>
          <w:szCs w:val="24"/>
        </w:rPr>
        <w:t xml:space="preserve">arp</w:t>
      </w:r>
      <w:r>
        <w:rPr>
          <w:rFonts w:ascii="Times New Roman" w:hAnsi="Times New Roman"/>
          <w:color w:val="000000"/>
          <w:sz w:val="24"/>
          <w:szCs w:val="24"/>
        </w:rPr>
        <w:t xml:space="preserve">).</w:t>
      </w:r>
      <w:r>
        <w:rPr>
          <w:rFonts w:ascii="Times New Roman" w:hAnsi="Times New Roman"/>
          <w:color w:val="000000"/>
          <w:sz w:val="24"/>
          <w:szCs w:val="24"/>
        </w:rPr>
      </w:r>
      <w:r>
        <w:rPr>
          <w:rFonts w:ascii="Times New Roman" w:hAnsi="Times New Roman"/>
          <w:color w:val="000000"/>
          <w:sz w:val="24"/>
          <w:szCs w:val="24"/>
        </w:rPr>
      </w:r>
    </w:p>
    <w:p>
      <w:pPr>
        <w:pStyle w:val="1761"/>
        <w:ind w:left="0" w:firstLine="567"/>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Заказчик не позднее 5 (пяти) рабочих дней с момента предоставления рассматривает проектно-сметную документацию, акт сдачи-приемки проектных и изыскательских работ, подписывает их, либо предоставляет мотивированный отказ от их подписа</w:t>
      </w:r>
      <w:r>
        <w:rPr>
          <w:rFonts w:ascii="Times New Roman" w:hAnsi="Times New Roman"/>
          <w:color w:val="000000"/>
          <w:sz w:val="24"/>
          <w:szCs w:val="24"/>
        </w:rPr>
        <w:t xml:space="preserve">ния. </w:t>
      </w:r>
      <w:r>
        <w:rPr>
          <w:rFonts w:ascii="Times New Roman" w:hAnsi="Times New Roman"/>
          <w:color w:val="000000"/>
          <w:sz w:val="24"/>
          <w:szCs w:val="24"/>
        </w:rPr>
      </w:r>
      <w:r>
        <w:rPr>
          <w:rFonts w:ascii="Times New Roman" w:hAnsi="Times New Roman"/>
          <w:color w:val="000000"/>
          <w:sz w:val="24"/>
          <w:szCs w:val="24"/>
        </w:rPr>
      </w:r>
    </w:p>
    <w:p>
      <w:pPr>
        <w:pStyle w:val="1761"/>
        <w:ind w:left="0" w:firstLine="567"/>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Подрядчик не позднее числа указанного в документе, подтверждающим мотивированный отказ, устраняет замечания Заказчика и повторно предоставляет Заказчику Акт сдачи-приемки проектных и изыскательских работ.</w:t>
      </w:r>
      <w:r>
        <w:rPr>
          <w:rFonts w:ascii="Times New Roman" w:hAnsi="Times New Roman"/>
          <w:color w:val="000000"/>
          <w:sz w:val="24"/>
          <w:szCs w:val="24"/>
        </w:rPr>
      </w:r>
      <w:r>
        <w:rPr>
          <w:rFonts w:ascii="Times New Roman" w:hAnsi="Times New Roman"/>
          <w:color w:val="000000"/>
          <w:sz w:val="24"/>
          <w:szCs w:val="24"/>
        </w:rPr>
      </w:r>
    </w:p>
    <w:p>
      <w:pPr>
        <w:pStyle w:val="1761"/>
        <w:ind w:left="0" w:firstLine="567"/>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В случае отсутствия указания в документе, под</w:t>
      </w:r>
      <w:r>
        <w:rPr>
          <w:rFonts w:ascii="Times New Roman" w:hAnsi="Times New Roman"/>
          <w:color w:val="000000"/>
          <w:sz w:val="24"/>
          <w:szCs w:val="24"/>
        </w:rPr>
        <w:t xml:space="preserve">тверждающим мотивированный отказ, срока устранения замечаний, данный срок должен быть не более пяти рабочих дней с даты выставления замечаний.</w:t>
      </w:r>
      <w:r>
        <w:rPr>
          <w:rFonts w:ascii="Times New Roman" w:hAnsi="Times New Roman"/>
          <w:color w:val="000000"/>
          <w:sz w:val="24"/>
          <w:szCs w:val="24"/>
        </w:rPr>
      </w:r>
      <w:r>
        <w:rPr>
          <w:rFonts w:ascii="Times New Roman" w:hAnsi="Times New Roman"/>
          <w:color w:val="000000"/>
          <w:sz w:val="24"/>
          <w:szCs w:val="24"/>
        </w:rPr>
      </w:r>
    </w:p>
    <w:p>
      <w:pPr>
        <w:pStyle w:val="1761"/>
        <w:ind w:left="0" w:firstLine="567"/>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В случае не устранения замечаний </w:t>
      </w:r>
      <w:r>
        <w:rPr>
          <w:rFonts w:ascii="Times New Roman" w:hAnsi="Times New Roman"/>
          <w:color w:val="000000"/>
          <w:sz w:val="24"/>
          <w:szCs w:val="24"/>
        </w:rPr>
        <w:t xml:space="preserve">Подрядчиком  в</w:t>
      </w:r>
      <w:r>
        <w:rPr>
          <w:rFonts w:ascii="Times New Roman" w:hAnsi="Times New Roman"/>
          <w:color w:val="000000"/>
          <w:sz w:val="24"/>
          <w:szCs w:val="24"/>
        </w:rPr>
        <w:t xml:space="preserve"> указанный Заказчиком срок, последний вправе применить к Подрядчику санкции, установленные Договором.</w:t>
      </w:r>
      <w:r>
        <w:rPr>
          <w:rFonts w:ascii="Times New Roman" w:hAnsi="Times New Roman"/>
          <w:color w:val="000000"/>
          <w:sz w:val="24"/>
          <w:szCs w:val="24"/>
        </w:rPr>
      </w:r>
      <w:r>
        <w:rPr>
          <w:rFonts w:ascii="Times New Roman" w:hAnsi="Times New Roman"/>
          <w:color w:val="000000"/>
          <w:sz w:val="24"/>
          <w:szCs w:val="24"/>
        </w:rPr>
      </w:r>
    </w:p>
    <w:p>
      <w:pPr>
        <w:pStyle w:val="1761"/>
        <w:ind w:left="0" w:firstLine="567"/>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б) по строительно-монтажным работам:</w:t>
      </w:r>
      <w:r>
        <w:rPr>
          <w:rFonts w:ascii="Times New Roman" w:hAnsi="Times New Roman"/>
          <w:color w:val="000000"/>
          <w:sz w:val="24"/>
          <w:szCs w:val="24"/>
        </w:rPr>
      </w:r>
      <w:r>
        <w:rPr>
          <w:rFonts w:ascii="Times New Roman" w:hAnsi="Times New Roman"/>
          <w:color w:val="000000"/>
          <w:sz w:val="24"/>
          <w:szCs w:val="24"/>
        </w:rPr>
      </w:r>
    </w:p>
    <w:p>
      <w:pPr>
        <w:pStyle w:val="1761"/>
        <w:ind w:left="0" w:firstLine="567"/>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Сдача-приемка работ по Договору осуществляется поэтапно (ежемесячно) </w:t>
      </w:r>
      <w:r>
        <w:rPr>
          <w:rFonts w:ascii="Times New Roman" w:hAnsi="Times New Roman"/>
          <w:color w:val="000000"/>
          <w:sz w:val="24"/>
          <w:szCs w:val="24"/>
        </w:rPr>
        <w:br/>
        <w:t xml:space="preserve">в соответствии с Календарным планом (Приложение</w:t>
      </w:r>
      <w:r>
        <w:rPr>
          <w:rFonts w:ascii="Times New Roman" w:hAnsi="Times New Roman"/>
          <w:color w:val="000000"/>
          <w:sz w:val="24"/>
          <w:szCs w:val="24"/>
        </w:rPr>
        <w:t xml:space="preserve"> № 2 к Договору).  </w:t>
      </w:r>
      <w:r>
        <w:rPr>
          <w:rFonts w:ascii="Times New Roman" w:hAnsi="Times New Roman"/>
          <w:color w:val="000000"/>
          <w:sz w:val="24"/>
          <w:szCs w:val="24"/>
        </w:rPr>
      </w:r>
      <w:r>
        <w:rPr>
          <w:rFonts w:ascii="Times New Roman" w:hAnsi="Times New Roman"/>
          <w:color w:val="000000"/>
          <w:sz w:val="24"/>
          <w:szCs w:val="24"/>
        </w:rPr>
      </w:r>
    </w:p>
    <w:p>
      <w:pPr>
        <w:ind w:firstLine="567"/>
        <w:jc w:val="both"/>
        <w:widowControl w:val="off"/>
        <w:rPr>
          <w:rFonts w:eastAsia="Arial Unicode MS" w:cstheme="minorBidi"/>
          <w:i/>
        </w:rPr>
      </w:pPr>
      <w:r>
        <w:t xml:space="preserve">Выполнение, предъявленное и принятое в соответствии с Календарным планом, является этапом работ. Документальным подтверждением этапа являются оформленные акты по форме КС-3, акты по форме КС-2, локальные сметы и иные документы, формирую</w:t>
      </w:r>
      <w:r>
        <w:t xml:space="preserve">щие прочие затраты</w:t>
      </w:r>
      <w:r>
        <w:rPr>
          <w:rFonts w:eastAsia="Arial Unicode MS"/>
          <w:i/>
        </w:rPr>
        <w:t xml:space="preserve">.</w:t>
      </w:r>
      <w:r>
        <w:rPr>
          <w:rFonts w:eastAsia="Arial Unicode MS" w:cstheme="minorBidi"/>
          <w:i/>
        </w:rPr>
      </w:r>
      <w:r>
        <w:rPr>
          <w:rFonts w:eastAsia="Arial Unicode MS" w:cstheme="minorBidi"/>
          <w:i/>
        </w:rPr>
      </w:r>
    </w:p>
    <w:p>
      <w:pPr>
        <w:pStyle w:val="1761"/>
        <w:ind w:left="0" w:firstLine="567"/>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Подрядчик по окончании выполнения работ по этапу представляет Заказчику акты </w:t>
      </w:r>
      <w:r>
        <w:rPr>
          <w:rFonts w:ascii="Times New Roman" w:hAnsi="Times New Roman"/>
          <w:color w:val="000000"/>
          <w:sz w:val="24"/>
          <w:szCs w:val="24"/>
        </w:rPr>
        <w:br/>
        <w:t xml:space="preserve">о приемке выполненных работ (форма № КС-2), справку о стоимости выполненных работ </w:t>
      </w:r>
      <w:r>
        <w:rPr>
          <w:rFonts w:ascii="Times New Roman" w:hAnsi="Times New Roman"/>
          <w:color w:val="000000"/>
          <w:sz w:val="24"/>
          <w:szCs w:val="24"/>
        </w:rPr>
        <w:br/>
        <w:t xml:space="preserve">и затрат (форма № КС-3), локальные сметы на предъявляемый объем работ в 2 (</w:t>
      </w:r>
      <w:r>
        <w:rPr>
          <w:rFonts w:ascii="Times New Roman" w:hAnsi="Times New Roman"/>
          <w:color w:val="000000"/>
          <w:sz w:val="24"/>
          <w:szCs w:val="24"/>
        </w:rPr>
        <w:t xml:space="preserve">двух) экземплярах, а также 1 (один) экземпляр локальных смет в электронном виде в форматах, экспортированных (переведенных) напрямую из сметной программы (гранд-смета (.</w:t>
      </w:r>
      <w:r>
        <w:rPr>
          <w:rFonts w:ascii="Times New Roman" w:hAnsi="Times New Roman"/>
          <w:color w:val="000000"/>
          <w:sz w:val="24"/>
          <w:szCs w:val="24"/>
        </w:rPr>
        <w:t xml:space="preserve">gsf</w:t>
      </w:r>
      <w:r>
        <w:rPr>
          <w:rFonts w:ascii="Times New Roman" w:hAnsi="Times New Roman"/>
          <w:color w:val="000000"/>
          <w:sz w:val="24"/>
          <w:szCs w:val="24"/>
        </w:rPr>
        <w:t xml:space="preserve">) </w:t>
      </w:r>
      <w:r>
        <w:rPr>
          <w:rFonts w:ascii="Times New Roman" w:hAnsi="Times New Roman"/>
          <w:color w:val="000000"/>
          <w:sz w:val="24"/>
          <w:szCs w:val="24"/>
        </w:rPr>
        <w:br/>
        <w:t xml:space="preserve">или «А0»/универсальный формат (.</w:t>
      </w:r>
      <w:r>
        <w:rPr>
          <w:rFonts w:ascii="Times New Roman" w:hAnsi="Times New Roman"/>
          <w:color w:val="000000"/>
          <w:sz w:val="24"/>
          <w:szCs w:val="24"/>
        </w:rPr>
        <w:t xml:space="preserve">xml</w:t>
      </w:r>
      <w:r>
        <w:rPr>
          <w:rFonts w:ascii="Times New Roman" w:hAnsi="Times New Roman"/>
          <w:color w:val="000000"/>
          <w:sz w:val="24"/>
          <w:szCs w:val="24"/>
        </w:rPr>
        <w:t xml:space="preserve">)/единый блок обмена АРПС 1.10 (.</w:t>
      </w:r>
      <w:r>
        <w:rPr>
          <w:rFonts w:ascii="Times New Roman" w:hAnsi="Times New Roman"/>
          <w:color w:val="000000"/>
          <w:sz w:val="24"/>
          <w:szCs w:val="24"/>
        </w:rPr>
        <w:t xml:space="preserve">arp</w:t>
      </w:r>
      <w:r>
        <w:rPr>
          <w:rFonts w:ascii="Times New Roman" w:hAnsi="Times New Roman"/>
          <w:color w:val="000000"/>
          <w:sz w:val="24"/>
          <w:szCs w:val="24"/>
        </w:rPr>
        <w:t xml:space="preserve">)), соотве</w:t>
      </w:r>
      <w:r>
        <w:rPr>
          <w:rFonts w:ascii="Times New Roman" w:hAnsi="Times New Roman"/>
          <w:color w:val="000000"/>
          <w:sz w:val="24"/>
          <w:szCs w:val="24"/>
        </w:rPr>
        <w:t xml:space="preserve">тствующую исполнительную документацию, счет и счет-фактуру.</w:t>
      </w:r>
      <w:r>
        <w:rPr>
          <w:rFonts w:ascii="Times New Roman" w:hAnsi="Times New Roman"/>
          <w:color w:val="000000"/>
          <w:sz w:val="24"/>
          <w:szCs w:val="24"/>
        </w:rPr>
      </w:r>
      <w:r>
        <w:rPr>
          <w:rFonts w:ascii="Times New Roman" w:hAnsi="Times New Roman"/>
          <w:color w:val="000000"/>
          <w:sz w:val="24"/>
          <w:szCs w:val="24"/>
        </w:rPr>
      </w:r>
    </w:p>
    <w:p>
      <w:pPr>
        <w:pStyle w:val="1761"/>
        <w:ind w:left="0" w:firstLine="567"/>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В составе исполнительной документации должны быть </w:t>
      </w:r>
      <w:r>
        <w:rPr>
          <w:rFonts w:ascii="Times New Roman" w:hAnsi="Times New Roman"/>
          <w:color w:val="000000"/>
          <w:sz w:val="24"/>
          <w:szCs w:val="24"/>
        </w:rPr>
        <w:t xml:space="preserve">файлы</w:t>
      </w:r>
      <w:r>
        <w:rPr>
          <w:rFonts w:ascii="Times New Roman" w:hAnsi="Times New Roman"/>
          <w:color w:val="000000"/>
          <w:sz w:val="24"/>
          <w:szCs w:val="24"/>
        </w:rPr>
        <w:t xml:space="preserve"> соответствующие следующим требованиям:</w:t>
      </w:r>
      <w:r>
        <w:rPr>
          <w:rFonts w:ascii="Times New Roman" w:hAnsi="Times New Roman"/>
          <w:color w:val="000000"/>
          <w:sz w:val="24"/>
          <w:szCs w:val="24"/>
        </w:rPr>
      </w:r>
      <w:r>
        <w:rPr>
          <w:rFonts w:ascii="Times New Roman" w:hAnsi="Times New Roman"/>
          <w:color w:val="000000"/>
          <w:sz w:val="24"/>
          <w:szCs w:val="24"/>
        </w:rPr>
      </w:r>
    </w:p>
    <w:p>
      <w:pPr>
        <w:pStyle w:val="1761"/>
        <w:ind w:left="0" w:firstLine="567"/>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 файл в редактируемом формате DWG;</w:t>
      </w:r>
      <w:r>
        <w:rPr>
          <w:rFonts w:ascii="Times New Roman" w:hAnsi="Times New Roman"/>
          <w:color w:val="000000"/>
          <w:sz w:val="24"/>
          <w:szCs w:val="24"/>
        </w:rPr>
      </w:r>
      <w:r>
        <w:rPr>
          <w:rFonts w:ascii="Times New Roman" w:hAnsi="Times New Roman"/>
          <w:color w:val="000000"/>
          <w:sz w:val="24"/>
          <w:szCs w:val="24"/>
        </w:rPr>
      </w:r>
    </w:p>
    <w:p>
      <w:pPr>
        <w:pStyle w:val="1761"/>
        <w:ind w:left="0" w:firstLine="567"/>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 файл в формате </w:t>
      </w:r>
      <w:r>
        <w:rPr>
          <w:rFonts w:ascii="Times New Roman" w:hAnsi="Times New Roman"/>
          <w:color w:val="000000"/>
          <w:sz w:val="24"/>
          <w:szCs w:val="24"/>
        </w:rPr>
        <w:t xml:space="preserve">Maplnfo</w:t>
      </w:r>
      <w:r>
        <w:rPr>
          <w:rFonts w:ascii="Times New Roman" w:hAnsi="Times New Roman"/>
          <w:color w:val="000000"/>
          <w:sz w:val="24"/>
          <w:szCs w:val="24"/>
        </w:rPr>
        <w:t xml:space="preserve"> (</w:t>
      </w:r>
      <w:r>
        <w:rPr>
          <w:rFonts w:ascii="Times New Roman" w:hAnsi="Times New Roman"/>
          <w:color w:val="000000"/>
          <w:sz w:val="24"/>
          <w:szCs w:val="24"/>
        </w:rPr>
        <w:t xml:space="preserve">Mid</w:t>
      </w:r>
      <w:r>
        <w:rPr>
          <w:rFonts w:ascii="Times New Roman" w:hAnsi="Times New Roman"/>
          <w:color w:val="000000"/>
          <w:sz w:val="24"/>
          <w:szCs w:val="24"/>
        </w:rPr>
        <w:t xml:space="preserve">/</w:t>
      </w:r>
      <w:r>
        <w:rPr>
          <w:rFonts w:ascii="Times New Roman" w:hAnsi="Times New Roman"/>
          <w:color w:val="000000"/>
          <w:sz w:val="24"/>
          <w:szCs w:val="24"/>
        </w:rPr>
        <w:t xml:space="preserve">Mif</w:t>
      </w:r>
      <w:r>
        <w:rPr>
          <w:rFonts w:ascii="Times New Roman" w:hAnsi="Times New Roman"/>
          <w:color w:val="000000"/>
          <w:sz w:val="24"/>
          <w:szCs w:val="24"/>
        </w:rPr>
        <w:t xml:space="preserve">) или файлы </w:t>
      </w:r>
      <w:r>
        <w:rPr>
          <w:rFonts w:ascii="Times New Roman" w:hAnsi="Times New Roman"/>
          <w:color w:val="000000"/>
          <w:sz w:val="24"/>
          <w:szCs w:val="24"/>
        </w:rPr>
        <w:t xml:space="preserve">ArcGis</w:t>
      </w:r>
      <w:r>
        <w:rPr>
          <w:rFonts w:ascii="Times New Roman" w:hAnsi="Times New Roman"/>
          <w:color w:val="000000"/>
          <w:sz w:val="24"/>
          <w:szCs w:val="24"/>
        </w:rPr>
        <w:t xml:space="preserve"> (</w:t>
      </w:r>
      <w:r>
        <w:rPr>
          <w:rFonts w:ascii="Times New Roman" w:hAnsi="Times New Roman"/>
          <w:color w:val="000000"/>
          <w:sz w:val="24"/>
          <w:szCs w:val="24"/>
        </w:rPr>
        <w:t xml:space="preserve">shp</w:t>
      </w:r>
      <w:r>
        <w:rPr>
          <w:rFonts w:ascii="Times New Roman" w:hAnsi="Times New Roman"/>
          <w:color w:val="000000"/>
          <w:sz w:val="24"/>
          <w:szCs w:val="24"/>
        </w:rPr>
        <w:t xml:space="preserve">-файлы);</w:t>
      </w:r>
      <w:r>
        <w:rPr>
          <w:rFonts w:ascii="Times New Roman" w:hAnsi="Times New Roman"/>
          <w:color w:val="000000"/>
          <w:sz w:val="24"/>
          <w:szCs w:val="24"/>
        </w:rPr>
      </w:r>
      <w:r>
        <w:rPr>
          <w:rFonts w:ascii="Times New Roman" w:hAnsi="Times New Roman"/>
          <w:color w:val="000000"/>
          <w:sz w:val="24"/>
          <w:szCs w:val="24"/>
        </w:rPr>
      </w:r>
    </w:p>
    <w:p>
      <w:pPr>
        <w:pStyle w:val="1761"/>
        <w:ind w:left="0" w:firstLine="567"/>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 каждый слой должен содержать один тип геометрии (контура, линии, точки, подписи);</w:t>
      </w:r>
      <w:r>
        <w:rPr>
          <w:rFonts w:ascii="Times New Roman" w:hAnsi="Times New Roman"/>
          <w:color w:val="000000"/>
          <w:sz w:val="24"/>
          <w:szCs w:val="24"/>
        </w:rPr>
      </w:r>
      <w:r>
        <w:rPr>
          <w:rFonts w:ascii="Times New Roman" w:hAnsi="Times New Roman"/>
          <w:color w:val="000000"/>
          <w:sz w:val="24"/>
          <w:szCs w:val="24"/>
        </w:rPr>
      </w:r>
    </w:p>
    <w:p>
      <w:pPr>
        <w:pStyle w:val="1761"/>
        <w:ind w:left="0" w:firstLine="567"/>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 символьные слои должны быть в формате </w:t>
      </w:r>
      <w:r>
        <w:rPr>
          <w:rFonts w:ascii="Times New Roman" w:hAnsi="Times New Roman"/>
          <w:color w:val="000000"/>
          <w:sz w:val="24"/>
          <w:szCs w:val="24"/>
        </w:rPr>
        <w:t xml:space="preserve">True</w:t>
      </w:r>
      <w:r>
        <w:rPr>
          <w:rFonts w:ascii="Times New Roman" w:hAnsi="Times New Roman"/>
          <w:color w:val="000000"/>
          <w:sz w:val="24"/>
          <w:szCs w:val="24"/>
        </w:rPr>
        <w:t xml:space="preserve"> </w:t>
      </w:r>
      <w:r>
        <w:rPr>
          <w:rFonts w:ascii="Times New Roman" w:hAnsi="Times New Roman"/>
          <w:color w:val="000000"/>
          <w:sz w:val="24"/>
          <w:szCs w:val="24"/>
        </w:rPr>
        <w:t xml:space="preserve">Type</w:t>
      </w:r>
      <w:r>
        <w:rPr>
          <w:rFonts w:ascii="Times New Roman" w:hAnsi="Times New Roman"/>
          <w:color w:val="000000"/>
          <w:sz w:val="24"/>
          <w:szCs w:val="24"/>
        </w:rPr>
        <w:t xml:space="preserve">, каждый такой слой должен содержать только один вид (изображение) символа;</w:t>
      </w:r>
      <w:r>
        <w:rPr>
          <w:rFonts w:ascii="Times New Roman" w:hAnsi="Times New Roman"/>
          <w:color w:val="000000"/>
          <w:sz w:val="24"/>
          <w:szCs w:val="24"/>
        </w:rPr>
      </w:r>
      <w:r>
        <w:rPr>
          <w:rFonts w:ascii="Times New Roman" w:hAnsi="Times New Roman"/>
          <w:color w:val="000000"/>
          <w:sz w:val="24"/>
          <w:szCs w:val="24"/>
        </w:rPr>
      </w:r>
    </w:p>
    <w:p>
      <w:pPr>
        <w:pStyle w:val="1761"/>
        <w:ind w:left="0" w:firstLine="567"/>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 значение координат объектов, вершин объектов,</w:t>
      </w:r>
      <w:r>
        <w:rPr>
          <w:rFonts w:ascii="Times New Roman" w:hAnsi="Times New Roman"/>
          <w:color w:val="000000"/>
          <w:sz w:val="24"/>
          <w:szCs w:val="24"/>
        </w:rPr>
        <w:t xml:space="preserve"> должны соответствовать координатам в МСК-64 («Местная система координат Ленинграда 1964 г.»).</w:t>
      </w:r>
      <w:r>
        <w:rPr>
          <w:rFonts w:ascii="Times New Roman" w:hAnsi="Times New Roman"/>
          <w:color w:val="000000"/>
          <w:sz w:val="24"/>
          <w:szCs w:val="24"/>
        </w:rPr>
      </w:r>
      <w:r>
        <w:rPr>
          <w:rFonts w:ascii="Times New Roman" w:hAnsi="Times New Roman"/>
          <w:color w:val="000000"/>
          <w:sz w:val="24"/>
          <w:szCs w:val="24"/>
        </w:rPr>
      </w:r>
    </w:p>
    <w:p>
      <w:pPr>
        <w:pStyle w:val="1761"/>
        <w:ind w:left="0" w:firstLine="567"/>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Заказчик не позднее 5 (пяти) рабочих дней с момента предоставления рассматривает акты о приемке выполненных работ (форма № КС-2) и справки о стоимости выполненны</w:t>
      </w:r>
      <w:r>
        <w:rPr>
          <w:rFonts w:ascii="Times New Roman" w:hAnsi="Times New Roman"/>
          <w:color w:val="000000"/>
          <w:sz w:val="24"/>
          <w:szCs w:val="24"/>
        </w:rPr>
        <w:t xml:space="preserve">х работ и затрат (форма № КС-3), подписывает их, либо предоставляет мотивированный отказ от их подписания (замечания по выполненным работам). </w:t>
      </w:r>
      <w:r>
        <w:rPr>
          <w:rFonts w:ascii="Times New Roman" w:hAnsi="Times New Roman"/>
          <w:color w:val="000000"/>
          <w:sz w:val="24"/>
          <w:szCs w:val="24"/>
        </w:rPr>
      </w:r>
      <w:r>
        <w:rPr>
          <w:rFonts w:ascii="Times New Roman" w:hAnsi="Times New Roman"/>
          <w:color w:val="000000"/>
          <w:sz w:val="24"/>
          <w:szCs w:val="24"/>
        </w:rPr>
      </w:r>
    </w:p>
    <w:p>
      <w:pPr>
        <w:pStyle w:val="1761"/>
        <w:ind w:left="0" w:firstLine="567"/>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Подрядчик в установленные при выставлении Заказчиком мотивированных замечаний сроки устраняет эти замечания и повторно предоставляет Заказчику акты о приемке выполненных работ, справки о стоимости выполненных работ и затрат.</w:t>
      </w:r>
      <w:r>
        <w:rPr>
          <w:rFonts w:ascii="Times New Roman" w:hAnsi="Times New Roman"/>
          <w:color w:val="000000"/>
          <w:sz w:val="24"/>
          <w:szCs w:val="24"/>
        </w:rPr>
      </w:r>
      <w:r>
        <w:rPr>
          <w:rFonts w:ascii="Times New Roman" w:hAnsi="Times New Roman"/>
          <w:color w:val="000000"/>
          <w:sz w:val="24"/>
          <w:szCs w:val="24"/>
        </w:rPr>
      </w:r>
    </w:p>
    <w:p>
      <w:pPr>
        <w:pStyle w:val="1761"/>
        <w:ind w:left="0" w:firstLine="567"/>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В случае не устранения замечани</w:t>
      </w:r>
      <w:r>
        <w:rPr>
          <w:rFonts w:ascii="Times New Roman" w:hAnsi="Times New Roman"/>
          <w:color w:val="000000"/>
          <w:sz w:val="24"/>
          <w:szCs w:val="24"/>
        </w:rPr>
        <w:t xml:space="preserve">й Заказчика в указанный срок Заказчик вправе применить к Подрядчику </w:t>
      </w:r>
      <w:r>
        <w:rPr>
          <w:rFonts w:ascii="Times New Roman" w:hAnsi="Times New Roman"/>
          <w:color w:val="000000"/>
          <w:sz w:val="24"/>
          <w:szCs w:val="24"/>
        </w:rPr>
        <w:t xml:space="preserve">санкции</w:t>
      </w:r>
      <w:r>
        <w:rPr>
          <w:rFonts w:ascii="Times New Roman" w:hAnsi="Times New Roman"/>
          <w:color w:val="000000"/>
          <w:sz w:val="24"/>
          <w:szCs w:val="24"/>
        </w:rPr>
        <w:t xml:space="preserve"> установленные Договором. Устранение Подрядчиком </w:t>
      </w:r>
      <w:r>
        <w:rPr>
          <w:rFonts w:ascii="Times New Roman" w:hAnsi="Times New Roman"/>
          <w:color w:val="000000"/>
          <w:sz w:val="24"/>
          <w:szCs w:val="24"/>
        </w:rPr>
        <w:br/>
        <w:t xml:space="preserve">в установленные сроки выявленных недостатков не освобождает его от уплаты неустойки, предусмотренной Договором.</w:t>
      </w:r>
      <w:r>
        <w:rPr>
          <w:rFonts w:ascii="Times New Roman" w:hAnsi="Times New Roman"/>
          <w:color w:val="000000"/>
          <w:sz w:val="24"/>
          <w:szCs w:val="24"/>
        </w:rPr>
      </w:r>
      <w:r>
        <w:rPr>
          <w:rFonts w:ascii="Times New Roman" w:hAnsi="Times New Roman"/>
          <w:color w:val="000000"/>
          <w:sz w:val="24"/>
          <w:szCs w:val="24"/>
        </w:rPr>
      </w:r>
    </w:p>
    <w:p>
      <w:pPr>
        <w:pStyle w:val="1761"/>
        <w:ind w:left="0" w:firstLine="567"/>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Подрядчик по итогам</w:t>
      </w:r>
      <w:r>
        <w:rPr>
          <w:rFonts w:ascii="Times New Roman" w:hAnsi="Times New Roman"/>
          <w:color w:val="000000"/>
          <w:sz w:val="24"/>
          <w:szCs w:val="24"/>
        </w:rPr>
        <w:t xml:space="preserve"> выполнения полного объема работ по Договору представляет Заказчику акты о приемке выполненных работ (форма № КС-2), справку о стоимости выполненных работ и затрат (форма № КС-3), </w:t>
      </w:r>
      <w:r>
        <w:rPr>
          <w:rFonts w:ascii="Times New Roman" w:hAnsi="Times New Roman"/>
          <w:i/>
          <w:color w:val="000000"/>
          <w:sz w:val="24"/>
          <w:szCs w:val="24"/>
        </w:rPr>
        <w:t xml:space="preserve">акт приемки законченного строительством объекта приемочной комиссией (форма </w:t>
      </w:r>
      <w:r>
        <w:rPr>
          <w:rFonts w:ascii="Times New Roman" w:hAnsi="Times New Roman"/>
          <w:i/>
          <w:color w:val="000000"/>
          <w:sz w:val="24"/>
          <w:szCs w:val="24"/>
        </w:rPr>
        <w:t xml:space="preserve">№ РС-14) </w:t>
      </w:r>
      <w:r>
        <w:rPr>
          <w:rFonts w:ascii="Times New Roman" w:hAnsi="Times New Roman"/>
          <w:i/>
          <w:sz w:val="24"/>
          <w:szCs w:val="24"/>
        </w:rPr>
        <w:t xml:space="preserve">/ акт приёмки-передачи Работ в полном объеме (Приложение №16)</w:t>
      </w:r>
      <w:r>
        <w:rPr>
          <w:rStyle w:val="1763"/>
          <w:rFonts w:ascii="Times New Roman" w:hAnsi="Times New Roman"/>
          <w:i/>
          <w:sz w:val="24"/>
          <w:szCs w:val="24"/>
        </w:rPr>
        <w:footnoteReference w:id="21"/>
      </w:r>
      <w:r>
        <w:rPr>
          <w:rFonts w:ascii="Times New Roman" w:hAnsi="Times New Roman"/>
          <w:color w:val="000000"/>
          <w:sz w:val="24"/>
          <w:szCs w:val="24"/>
        </w:rPr>
        <w:t xml:space="preserve">, локальные сметы на предъявляемый объем работ в 2 (двух) экземплярах, а также 1 (один) экземпляр локальных смет в электронном виде в форматах, экспортированных (переведенных) напрямую </w:t>
      </w:r>
      <w:r>
        <w:rPr>
          <w:rFonts w:ascii="Times New Roman" w:hAnsi="Times New Roman"/>
          <w:color w:val="000000"/>
          <w:sz w:val="24"/>
          <w:szCs w:val="24"/>
        </w:rPr>
        <w:t xml:space="preserve">из сметной программы (гранд-смета (.</w:t>
      </w:r>
      <w:r>
        <w:rPr>
          <w:rFonts w:ascii="Times New Roman" w:hAnsi="Times New Roman"/>
          <w:color w:val="000000"/>
          <w:sz w:val="24"/>
          <w:szCs w:val="24"/>
        </w:rPr>
        <w:t xml:space="preserve">gsf</w:t>
      </w:r>
      <w:r>
        <w:rPr>
          <w:rFonts w:ascii="Times New Roman" w:hAnsi="Times New Roman"/>
          <w:color w:val="000000"/>
          <w:sz w:val="24"/>
          <w:szCs w:val="24"/>
        </w:rPr>
        <w:t xml:space="preserve">) или «А0»/универсальный формат (.</w:t>
      </w:r>
      <w:r>
        <w:rPr>
          <w:rFonts w:ascii="Times New Roman" w:hAnsi="Times New Roman"/>
          <w:color w:val="000000"/>
          <w:sz w:val="24"/>
          <w:szCs w:val="24"/>
        </w:rPr>
        <w:t xml:space="preserve">xml</w:t>
      </w:r>
      <w:r>
        <w:rPr>
          <w:rFonts w:ascii="Times New Roman" w:hAnsi="Times New Roman"/>
          <w:color w:val="000000"/>
          <w:sz w:val="24"/>
          <w:szCs w:val="24"/>
        </w:rPr>
        <w:t xml:space="preserve">)/единый блок обмена АРПС 1.10 (.</w:t>
      </w:r>
      <w:r>
        <w:rPr>
          <w:rFonts w:ascii="Times New Roman" w:hAnsi="Times New Roman"/>
          <w:color w:val="000000"/>
          <w:sz w:val="24"/>
          <w:szCs w:val="24"/>
        </w:rPr>
        <w:t xml:space="preserve">arp</w:t>
      </w:r>
      <w:r>
        <w:rPr>
          <w:rFonts w:ascii="Times New Roman" w:hAnsi="Times New Roman"/>
          <w:color w:val="000000"/>
          <w:sz w:val="24"/>
          <w:szCs w:val="24"/>
        </w:rPr>
        <w:t xml:space="preserve">)), соответствующую исполнительную документацию, счет и счет-фактуру.</w:t>
      </w:r>
      <w:r>
        <w:rPr>
          <w:rFonts w:ascii="Times New Roman" w:hAnsi="Times New Roman"/>
          <w:color w:val="000000"/>
          <w:sz w:val="24"/>
          <w:szCs w:val="24"/>
        </w:rPr>
      </w:r>
      <w:r>
        <w:rPr>
          <w:rFonts w:ascii="Times New Roman" w:hAnsi="Times New Roman"/>
          <w:color w:val="000000"/>
          <w:sz w:val="24"/>
          <w:szCs w:val="24"/>
        </w:rPr>
      </w:r>
    </w:p>
    <w:p>
      <w:pPr>
        <w:pStyle w:val="1761"/>
        <w:ind w:left="0" w:firstLine="567"/>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Заказчик не позднее 5 (пяти) рабочих дней с момента предоставления </w:t>
      </w:r>
      <w:r>
        <w:rPr>
          <w:rFonts w:ascii="Times New Roman" w:hAnsi="Times New Roman"/>
          <w:i/>
          <w:color w:val="000000"/>
          <w:sz w:val="24"/>
          <w:szCs w:val="24"/>
        </w:rPr>
        <w:t xml:space="preserve">акта пр</w:t>
      </w:r>
      <w:r>
        <w:rPr>
          <w:rFonts w:ascii="Times New Roman" w:hAnsi="Times New Roman"/>
          <w:i/>
          <w:color w:val="000000"/>
          <w:sz w:val="24"/>
          <w:szCs w:val="24"/>
        </w:rPr>
        <w:t xml:space="preserve">иемки законченного строительством объекта приемочной комиссией (форма № РС-14) </w:t>
      </w:r>
      <w:r>
        <w:rPr>
          <w:rFonts w:ascii="Times New Roman" w:hAnsi="Times New Roman"/>
          <w:i/>
          <w:sz w:val="24"/>
          <w:szCs w:val="24"/>
        </w:rPr>
        <w:t xml:space="preserve">/ акта приёмки-передачи Работ в полном объеме (Приложение №16)</w:t>
      </w:r>
      <w:r>
        <w:rPr>
          <w:rStyle w:val="1763"/>
          <w:rFonts w:ascii="Times New Roman" w:hAnsi="Times New Roman"/>
          <w:i/>
          <w:sz w:val="24"/>
          <w:szCs w:val="24"/>
        </w:rPr>
        <w:footnoteReference w:id="22"/>
      </w:r>
      <w:r>
        <w:rPr>
          <w:rFonts w:ascii="Times New Roman" w:hAnsi="Times New Roman"/>
          <w:i/>
          <w:color w:val="000000"/>
          <w:sz w:val="24"/>
          <w:szCs w:val="24"/>
        </w:rPr>
        <w:t xml:space="preserve">,</w:t>
      </w:r>
      <w:r>
        <w:rPr>
          <w:rFonts w:ascii="Times New Roman" w:hAnsi="Times New Roman"/>
          <w:color w:val="000000"/>
          <w:sz w:val="24"/>
          <w:szCs w:val="24"/>
        </w:rPr>
        <w:t xml:space="preserve"> подписывает их, либо предоставляет мотивированный отказ от их подписания (замечания по выполненным работам, рекл</w:t>
      </w:r>
      <w:r>
        <w:rPr>
          <w:rFonts w:ascii="Times New Roman" w:hAnsi="Times New Roman"/>
          <w:color w:val="000000"/>
          <w:sz w:val="24"/>
          <w:szCs w:val="24"/>
        </w:rPr>
        <w:t xml:space="preserve">амационный акт).</w:t>
      </w:r>
      <w:r>
        <w:rPr>
          <w:rFonts w:ascii="Times New Roman" w:hAnsi="Times New Roman"/>
          <w:color w:val="000000"/>
          <w:sz w:val="24"/>
          <w:szCs w:val="24"/>
        </w:rPr>
      </w:r>
      <w:r>
        <w:rPr>
          <w:rFonts w:ascii="Times New Roman" w:hAnsi="Times New Roman"/>
          <w:color w:val="000000"/>
          <w:sz w:val="24"/>
          <w:szCs w:val="24"/>
        </w:rPr>
      </w:r>
    </w:p>
    <w:p>
      <w:pPr>
        <w:pStyle w:val="1761"/>
        <w:ind w:left="0" w:firstLine="567"/>
        <w:jc w:val="both"/>
        <w:spacing w:after="0" w:line="240" w:lineRule="auto"/>
        <w:widowControl w:val="off"/>
        <w:rPr>
          <w:rFonts w:ascii="Times New Roman" w:hAnsi="Times New Roman"/>
          <w:i/>
          <w:color w:val="000000"/>
          <w:sz w:val="24"/>
          <w:szCs w:val="24"/>
        </w:rPr>
      </w:pPr>
      <w:r>
        <w:rPr>
          <w:rFonts w:ascii="Times New Roman" w:hAnsi="Times New Roman"/>
          <w:color w:val="000000"/>
          <w:sz w:val="24"/>
          <w:szCs w:val="24"/>
        </w:rPr>
        <w:t xml:space="preserve">Подрядчик не позднее числа указанного в документе, подтверждающим мотивированный отказ (в рекламационном акте), устраняет замечания Заказчика и повторно предоставляет Заказчику</w:t>
      </w:r>
      <w:r>
        <w:rPr>
          <w:rFonts w:ascii="Times New Roman" w:hAnsi="Times New Roman"/>
          <w:i/>
          <w:color w:val="000000"/>
          <w:sz w:val="24"/>
          <w:szCs w:val="24"/>
        </w:rPr>
        <w:t xml:space="preserve"> акт приемки законченного строительством объекта приемочной ком</w:t>
      </w:r>
      <w:r>
        <w:rPr>
          <w:rFonts w:ascii="Times New Roman" w:hAnsi="Times New Roman"/>
          <w:i/>
          <w:color w:val="000000"/>
          <w:sz w:val="24"/>
          <w:szCs w:val="24"/>
        </w:rPr>
        <w:t xml:space="preserve">иссией (форма № РС-14) </w:t>
      </w:r>
      <w:r>
        <w:rPr>
          <w:rFonts w:ascii="Times New Roman" w:hAnsi="Times New Roman"/>
          <w:i/>
          <w:sz w:val="24"/>
          <w:szCs w:val="24"/>
        </w:rPr>
        <w:t xml:space="preserve">/ акт приёмки-передачи Работ в полном объеме (Приложение №16)</w:t>
      </w:r>
      <w:r>
        <w:rPr>
          <w:rStyle w:val="1763"/>
          <w:rFonts w:ascii="Times New Roman" w:hAnsi="Times New Roman"/>
          <w:i/>
          <w:sz w:val="24"/>
          <w:szCs w:val="24"/>
        </w:rPr>
        <w:footnoteReference w:id="23"/>
      </w:r>
      <w:r>
        <w:rPr>
          <w:rFonts w:ascii="Times New Roman" w:hAnsi="Times New Roman"/>
          <w:i/>
          <w:color w:val="000000"/>
          <w:sz w:val="24"/>
          <w:szCs w:val="24"/>
        </w:rPr>
        <w:t xml:space="preserve">.</w:t>
      </w:r>
      <w:r>
        <w:rPr>
          <w:rFonts w:ascii="Times New Roman" w:hAnsi="Times New Roman"/>
          <w:i/>
          <w:color w:val="000000"/>
          <w:sz w:val="24"/>
          <w:szCs w:val="24"/>
        </w:rPr>
      </w:r>
      <w:r>
        <w:rPr>
          <w:rFonts w:ascii="Times New Roman" w:hAnsi="Times New Roman"/>
          <w:i/>
          <w:color w:val="000000"/>
          <w:sz w:val="24"/>
          <w:szCs w:val="24"/>
        </w:rPr>
      </w:r>
    </w:p>
    <w:p>
      <w:pPr>
        <w:pStyle w:val="1761"/>
        <w:ind w:left="0" w:firstLine="567"/>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В случае отсутствия указания в документе, подтверждающим мотивированный отказ, срока устранения замечаний, данный срок должен быть не более 5 (пяти) рабочих дней </w:t>
      </w:r>
      <w:r>
        <w:rPr>
          <w:rFonts w:ascii="Times New Roman" w:hAnsi="Times New Roman"/>
          <w:color w:val="000000"/>
          <w:sz w:val="24"/>
          <w:szCs w:val="24"/>
        </w:rPr>
        <w:br/>
        <w:t xml:space="preserve">с даты</w:t>
      </w:r>
      <w:r>
        <w:rPr>
          <w:rFonts w:ascii="Times New Roman" w:hAnsi="Times New Roman"/>
          <w:color w:val="000000"/>
          <w:sz w:val="24"/>
          <w:szCs w:val="24"/>
        </w:rPr>
        <w:t xml:space="preserve"> выставления замечаний.</w:t>
      </w:r>
      <w:r>
        <w:rPr>
          <w:rFonts w:ascii="Times New Roman" w:hAnsi="Times New Roman"/>
          <w:color w:val="000000"/>
          <w:sz w:val="24"/>
          <w:szCs w:val="24"/>
        </w:rPr>
      </w:r>
      <w:r>
        <w:rPr>
          <w:rFonts w:ascii="Times New Roman" w:hAnsi="Times New Roman"/>
          <w:color w:val="000000"/>
          <w:sz w:val="24"/>
          <w:szCs w:val="24"/>
        </w:rPr>
      </w:r>
    </w:p>
    <w:p>
      <w:pPr>
        <w:pStyle w:val="1761"/>
        <w:ind w:left="0" w:firstLine="567"/>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В случае не устранения замечаний </w:t>
      </w:r>
      <w:r>
        <w:rPr>
          <w:rFonts w:ascii="Times New Roman" w:hAnsi="Times New Roman"/>
          <w:color w:val="000000"/>
          <w:sz w:val="24"/>
          <w:szCs w:val="24"/>
        </w:rPr>
        <w:t xml:space="preserve">Подрядчиком  в</w:t>
      </w:r>
      <w:r>
        <w:rPr>
          <w:rFonts w:ascii="Times New Roman" w:hAnsi="Times New Roman"/>
          <w:color w:val="000000"/>
          <w:sz w:val="24"/>
          <w:szCs w:val="24"/>
        </w:rPr>
        <w:t xml:space="preserve"> указанный Заказчиком срок, последний вправе применить к Подрядчику санкции, установленные Договором.</w:t>
      </w:r>
      <w:r>
        <w:rPr>
          <w:rFonts w:ascii="Times New Roman" w:hAnsi="Times New Roman"/>
          <w:color w:val="000000"/>
          <w:sz w:val="24"/>
          <w:szCs w:val="24"/>
        </w:rPr>
      </w:r>
      <w:r>
        <w:rPr>
          <w:rFonts w:ascii="Times New Roman" w:hAnsi="Times New Roman"/>
          <w:color w:val="000000"/>
          <w:sz w:val="24"/>
          <w:szCs w:val="24"/>
        </w:rPr>
      </w:r>
    </w:p>
    <w:p>
      <w:pPr>
        <w:pStyle w:val="1761"/>
        <w:numPr>
          <w:ilvl w:val="1"/>
          <w:numId w:val="6"/>
        </w:numPr>
        <w:ind w:left="0" w:firstLine="567"/>
        <w:jc w:val="both"/>
        <w:spacing w:after="0" w:line="240" w:lineRule="auto"/>
        <w:widowControl w:val="off"/>
        <w:tabs>
          <w:tab w:val="clear" w:pos="1070" w:leader="none"/>
        </w:tabs>
        <w:rPr>
          <w:rFonts w:ascii="Times New Roman" w:hAnsi="Times New Roman"/>
          <w:color w:val="000000"/>
          <w:sz w:val="24"/>
          <w:szCs w:val="24"/>
        </w:rPr>
      </w:pPr>
      <w:r>
        <w:rPr>
          <w:rFonts w:ascii="Times New Roman" w:hAnsi="Times New Roman"/>
          <w:color w:val="000000"/>
          <w:sz w:val="24"/>
          <w:szCs w:val="24"/>
        </w:rPr>
        <w:t xml:space="preserve">В процессе строительства Подрядчик и Заказчик осуществляют контроль </w:t>
      </w:r>
      <w:r>
        <w:rPr>
          <w:rFonts w:ascii="Times New Roman" w:hAnsi="Times New Roman"/>
          <w:color w:val="000000"/>
          <w:sz w:val="24"/>
          <w:szCs w:val="24"/>
        </w:rPr>
        <w:br/>
        <w:t xml:space="preserve">за выполнением</w:t>
      </w:r>
      <w:r>
        <w:rPr>
          <w:rFonts w:ascii="Times New Roman" w:hAnsi="Times New Roman"/>
          <w:color w:val="000000"/>
          <w:sz w:val="24"/>
          <w:szCs w:val="24"/>
        </w:rPr>
        <w:t xml:space="preserve"> работ, которые в соответствии с технологией строительства не могут быть проконтролированы после выполнения других работ (скрытые работы), безопасностью строительных конструкций, участков сетей инженерно-технического обеспечения.</w:t>
      </w:r>
      <w:r>
        <w:rPr>
          <w:rFonts w:ascii="Times New Roman" w:hAnsi="Times New Roman"/>
          <w:color w:val="000000"/>
          <w:sz w:val="24"/>
          <w:szCs w:val="24"/>
        </w:rPr>
      </w:r>
      <w:r>
        <w:rPr>
          <w:rFonts w:ascii="Times New Roman" w:hAnsi="Times New Roman"/>
          <w:color w:val="000000"/>
          <w:sz w:val="24"/>
          <w:szCs w:val="24"/>
        </w:rPr>
      </w:r>
    </w:p>
    <w:p>
      <w:pPr>
        <w:ind w:firstLine="567"/>
        <w:jc w:val="both"/>
        <w:widowControl w:val="off"/>
        <w:tabs>
          <w:tab w:val="num" w:pos="1276" w:leader="none"/>
        </w:tabs>
        <w:rPr>
          <w:color w:val="000000"/>
        </w:rPr>
      </w:pPr>
      <w:r>
        <w:rPr>
          <w:color w:val="000000"/>
        </w:rPr>
        <w:t xml:space="preserve">По результатам проведения </w:t>
      </w:r>
      <w:r>
        <w:rPr>
          <w:color w:val="000000"/>
        </w:rPr>
        <w:t xml:space="preserve">контроля составляются акты освидетельствования указанных работ, конструкций, участков сетей инженерно-технического обеспечения.</w:t>
      </w:r>
      <w:r>
        <w:rPr>
          <w:color w:val="000000"/>
        </w:rPr>
      </w:r>
      <w:r>
        <w:rPr>
          <w:color w:val="000000"/>
        </w:rPr>
      </w:r>
    </w:p>
    <w:p>
      <w:pPr>
        <w:ind w:firstLine="567"/>
        <w:jc w:val="both"/>
        <w:widowControl w:val="off"/>
        <w:tabs>
          <w:tab w:val="num" w:pos="1276" w:leader="none"/>
        </w:tabs>
        <w:rPr>
          <w:color w:val="000000"/>
        </w:rPr>
      </w:pPr>
      <w:r>
        <w:rPr>
          <w:color w:val="000000"/>
        </w:rPr>
        <w:t xml:space="preserve">При выявлении по результатам проведения контроля </w:t>
      </w:r>
      <w:r>
        <w:rPr>
          <w:color w:val="000000"/>
        </w:rPr>
        <w:t xml:space="preserve">недостатков</w:t>
      </w:r>
      <w:r>
        <w:rPr>
          <w:color w:val="000000"/>
        </w:rPr>
        <w:t xml:space="preserve"> указанных выше работ</w:t>
      </w:r>
      <w:r>
        <w:rPr>
          <w:color w:val="000000"/>
        </w:rPr>
        <w:t xml:space="preserve">, конструкций, участков сетей инженерно-технического обеспечения акты освидетельствования составляются после устранения выявленных недостатков.</w:t>
      </w:r>
      <w:r>
        <w:rPr>
          <w:color w:val="000000"/>
        </w:rPr>
      </w:r>
      <w:r>
        <w:rPr>
          <w:color w:val="000000"/>
        </w:rPr>
      </w:r>
    </w:p>
    <w:p>
      <w:pPr>
        <w:pStyle w:val="1761"/>
        <w:numPr>
          <w:ilvl w:val="1"/>
          <w:numId w:val="6"/>
        </w:numPr>
        <w:ind w:left="0" w:firstLine="567"/>
        <w:jc w:val="both"/>
        <w:spacing w:after="0" w:line="240" w:lineRule="auto"/>
        <w:widowControl w:val="off"/>
        <w:tabs>
          <w:tab w:val="clear" w:pos="1070" w:leader="none"/>
        </w:tabs>
        <w:rPr>
          <w:rFonts w:ascii="Times New Roman" w:hAnsi="Times New Roman"/>
          <w:color w:val="000000"/>
          <w:sz w:val="24"/>
          <w:szCs w:val="24"/>
        </w:rPr>
      </w:pPr>
      <w:r>
        <w:rPr>
          <w:rFonts w:ascii="Times New Roman" w:hAnsi="Times New Roman"/>
          <w:color w:val="000000"/>
          <w:sz w:val="24"/>
          <w:szCs w:val="24"/>
        </w:rPr>
        <w:t xml:space="preserve">По завершении всех работ по Договору, Подрядчик письменно извещает Заказчика о готовности объекта к сдаче в эксп</w:t>
      </w:r>
      <w:r>
        <w:rPr>
          <w:rFonts w:ascii="Times New Roman" w:hAnsi="Times New Roman"/>
          <w:color w:val="000000"/>
          <w:sz w:val="24"/>
          <w:szCs w:val="24"/>
        </w:rPr>
        <w:t xml:space="preserve">луатацию.</w:t>
      </w:r>
      <w:r>
        <w:rPr>
          <w:rFonts w:ascii="Times New Roman" w:hAnsi="Times New Roman"/>
          <w:color w:val="000000"/>
          <w:sz w:val="24"/>
          <w:szCs w:val="24"/>
        </w:rPr>
      </w:r>
      <w:r>
        <w:rPr>
          <w:rFonts w:ascii="Times New Roman" w:hAnsi="Times New Roman"/>
          <w:color w:val="000000"/>
          <w:sz w:val="24"/>
          <w:szCs w:val="24"/>
        </w:rPr>
      </w:r>
    </w:p>
    <w:p>
      <w:pPr>
        <w:pStyle w:val="1761"/>
        <w:numPr>
          <w:ilvl w:val="1"/>
          <w:numId w:val="6"/>
        </w:numPr>
        <w:ind w:left="0" w:firstLine="567"/>
        <w:jc w:val="both"/>
        <w:spacing w:after="0" w:line="240" w:lineRule="auto"/>
        <w:widowControl w:val="off"/>
        <w:tabs>
          <w:tab w:val="clear" w:pos="1070" w:leader="none"/>
        </w:tabs>
        <w:rPr>
          <w:rFonts w:ascii="Times New Roman" w:hAnsi="Times New Roman"/>
          <w:color w:val="000000"/>
          <w:sz w:val="24"/>
          <w:szCs w:val="24"/>
        </w:rPr>
      </w:pPr>
      <w:r>
        <w:rPr>
          <w:rFonts w:ascii="Times New Roman" w:hAnsi="Times New Roman"/>
          <w:color w:val="000000"/>
          <w:sz w:val="24"/>
          <w:szCs w:val="24"/>
        </w:rPr>
        <w:t xml:space="preserve">Заказчик, получивший сообщение Подрядчика, в срок не позднее 10 (десяти) рабочих дней приступает к приемке результата выполненных работ, назначает проведение рабочей и Приемочной (Рабочей) комиссии и обеспечивает участие в них представителей упол</w:t>
      </w:r>
      <w:r>
        <w:rPr>
          <w:rFonts w:ascii="Times New Roman" w:hAnsi="Times New Roman"/>
          <w:color w:val="000000"/>
          <w:sz w:val="24"/>
          <w:szCs w:val="24"/>
        </w:rPr>
        <w:t xml:space="preserve">номоченных государственных органов и иных организаций.</w:t>
      </w:r>
      <w:r>
        <w:rPr>
          <w:rFonts w:ascii="Times New Roman" w:hAnsi="Times New Roman"/>
          <w:color w:val="000000"/>
          <w:sz w:val="24"/>
          <w:szCs w:val="24"/>
        </w:rPr>
      </w:r>
      <w:r>
        <w:rPr>
          <w:rFonts w:ascii="Times New Roman" w:hAnsi="Times New Roman"/>
          <w:color w:val="000000"/>
          <w:sz w:val="24"/>
          <w:szCs w:val="24"/>
        </w:rPr>
      </w:r>
    </w:p>
    <w:p>
      <w:pPr>
        <w:pStyle w:val="1761"/>
        <w:numPr>
          <w:ilvl w:val="1"/>
          <w:numId w:val="6"/>
        </w:numPr>
        <w:ind w:left="0" w:firstLine="567"/>
        <w:jc w:val="both"/>
        <w:spacing w:after="0" w:line="240" w:lineRule="auto"/>
        <w:widowControl w:val="off"/>
        <w:tabs>
          <w:tab w:val="clear" w:pos="1070" w:leader="none"/>
        </w:tabs>
        <w:rPr>
          <w:rFonts w:ascii="Times New Roman" w:hAnsi="Times New Roman"/>
          <w:color w:val="000000"/>
          <w:sz w:val="24"/>
          <w:szCs w:val="24"/>
          <w:highlight w:val="white"/>
        </w:rPr>
      </w:pPr>
      <w:r>
        <w:rPr>
          <w:rFonts w:ascii="Times New Roman" w:hAnsi="Times New Roman"/>
          <w:color w:val="000000"/>
          <w:sz w:val="24"/>
          <w:szCs w:val="24"/>
        </w:rPr>
        <w:t xml:space="preserve">Приемка законченного строительством объекта оформляется актом приемки </w:t>
      </w:r>
      <w:r>
        <w:rPr>
          <w:rFonts w:ascii="Times New Roman" w:hAnsi="Times New Roman"/>
          <w:color w:val="000000"/>
          <w:sz w:val="24"/>
          <w:szCs w:val="24"/>
          <w:highlight w:val="white"/>
        </w:rPr>
        <w:t xml:space="preserve">законченного строительством объекта приемочной комиссией (форма № РС-14).</w:t>
      </w:r>
      <w:r>
        <w:rPr>
          <w:rFonts w:ascii="Times New Roman" w:hAnsi="Times New Roman"/>
          <w:color w:val="000000"/>
          <w:sz w:val="24"/>
          <w:szCs w:val="24"/>
          <w:highlight w:val="white"/>
        </w:rPr>
      </w:r>
      <w:r>
        <w:rPr>
          <w:rFonts w:ascii="Times New Roman" w:hAnsi="Times New Roman"/>
          <w:color w:val="000000"/>
          <w:sz w:val="24"/>
          <w:szCs w:val="24"/>
          <w:highlight w:val="white"/>
        </w:rPr>
      </w:r>
    </w:p>
    <w:p>
      <w:pPr>
        <w:ind w:left="0" w:right="0" w:firstLine="567"/>
        <w:jc w:val="both"/>
        <w:spacing w:after="0" w:line="240" w:lineRule="auto"/>
        <w:widowControl w:val="off"/>
        <w:tabs>
          <w:tab w:val="clear" w:pos="1070" w:leader="none"/>
        </w:tabs>
        <w:rPr>
          <w:rFonts w:ascii="Times New Roman" w:hAnsi="Times New Roman"/>
          <w:color w:val="000000"/>
          <w:sz w:val="24"/>
          <w:szCs w:val="24"/>
          <w:highlight w:val="white"/>
        </w:rPr>
      </w:pPr>
      <w:r>
        <w:rPr>
          <w:rFonts w:ascii="Times New Roman" w:hAnsi="Times New Roman"/>
          <w:color w:val="000000"/>
          <w:sz w:val="24"/>
          <w:szCs w:val="24"/>
          <w:highlight w:val="white"/>
        </w:rPr>
      </w:r>
      <w:r>
        <w:rPr>
          <w:color w:val="000000"/>
          <w:highlight w:val="white"/>
        </w:rPr>
        <w:t xml:space="preserve">В</w:t>
      </w:r>
      <w:r>
        <w:rPr>
          <w:color w:val="000000"/>
          <w:highlight w:val="white"/>
        </w:rPr>
        <w:t xml:space="preserve"> случае невыполнения или частичного выполнения </w:t>
      </w:r>
      <w:r>
        <w:rPr>
          <w:color w:val="000000"/>
          <w:highlight w:val="white"/>
        </w:rPr>
        <w:t xml:space="preserve">Подрядчиком </w:t>
      </w:r>
      <w:r>
        <w:rPr>
          <w:color w:val="000000"/>
          <w:highlight w:val="white"/>
        </w:rPr>
        <w:t xml:space="preserve">работ по благоустройству территории </w:t>
      </w:r>
      <w:r>
        <w:rPr>
          <w:rFonts w:eastAsia="Arial"/>
          <w:sz w:val="22"/>
          <w:highlight w:val="white"/>
        </w:rPr>
        <w:t xml:space="preserve">вследствие окончания агротехнического периода, когда сроки выполнения всего комплекса работ, установленные настоящим Договором выходят за сроки агротехнического периода</w:t>
      </w:r>
      <w:r>
        <w:rPr>
          <w:color w:val="000000"/>
          <w:highlight w:val="white"/>
        </w:rPr>
        <w:t xml:space="preserve">, </w:t>
      </w:r>
      <w:r>
        <w:rPr>
          <w:color w:val="000000"/>
          <w:highlight w:val="white"/>
        </w:rPr>
        <w:t xml:space="preserve">Заказчик вправе </w:t>
      </w:r>
      <w:r>
        <w:rPr>
          <w:color w:val="000000"/>
          <w:highlight w:val="white"/>
        </w:rPr>
        <w:t xml:space="preserve">подписать акт приемки законченного строительством объекта</w:t>
      </w:r>
      <w:r>
        <w:rPr>
          <w:color w:val="000000"/>
          <w:highlight w:val="white"/>
        </w:rPr>
        <w:t xml:space="preserve"> приемочной комиссией</w:t>
      </w:r>
      <w:r>
        <w:rPr>
          <w:color w:val="000000"/>
          <w:highlight w:val="white"/>
        </w:rPr>
        <w:t xml:space="preserve"> (форма РС-14) с отлагательным условием</w:t>
      </w:r>
      <w:r>
        <w:rPr>
          <w:color w:val="000000"/>
          <w:highlight w:val="white"/>
        </w:rPr>
        <w:t xml:space="preserve">. При этом </w:t>
      </w:r>
      <w:r>
        <w:rPr>
          <w:color w:val="000000"/>
          <w:highlight w:val="white"/>
        </w:rPr>
        <w:t xml:space="preserve">стороны обязаны заключ</w:t>
      </w:r>
      <w:r>
        <w:rPr>
          <w:color w:val="000000"/>
          <w:highlight w:val="white"/>
        </w:rPr>
        <w:t xml:space="preserve">ить</w:t>
      </w:r>
      <w:r>
        <w:rPr>
          <w:color w:val="000000"/>
          <w:highlight w:val="white"/>
        </w:rPr>
        <w:t xml:space="preserve"> </w:t>
      </w:r>
      <w:r>
        <w:rPr>
          <w:color w:val="000000"/>
          <w:highlight w:val="white"/>
        </w:rPr>
        <w:t xml:space="preserve">соответствующее </w:t>
      </w:r>
      <w:r>
        <w:rPr>
          <w:color w:val="000000"/>
          <w:highlight w:val="white"/>
        </w:rPr>
        <w:t xml:space="preserve">дополнительн</w:t>
      </w:r>
      <w:r>
        <w:rPr>
          <w:color w:val="000000"/>
          <w:highlight w:val="white"/>
        </w:rPr>
        <w:t xml:space="preserve">ое</w:t>
      </w:r>
      <w:r>
        <w:rPr>
          <w:color w:val="000000"/>
          <w:highlight w:val="white"/>
        </w:rPr>
        <w:t xml:space="preserve"> соглашени</w:t>
      </w:r>
      <w:r>
        <w:rPr>
          <w:color w:val="000000"/>
          <w:highlight w:val="white"/>
        </w:rPr>
        <w:t xml:space="preserve">е</w:t>
      </w:r>
      <w:r>
        <w:rPr>
          <w:color w:val="000000"/>
          <w:highlight w:val="white"/>
        </w:rPr>
        <w:t xml:space="preserve"> к </w:t>
      </w:r>
      <w:r>
        <w:rPr>
          <w:color w:val="000000"/>
          <w:highlight w:val="white"/>
        </w:rPr>
        <w:t xml:space="preserve">настоящему </w:t>
      </w:r>
      <w:r>
        <w:rPr>
          <w:color w:val="000000"/>
          <w:highlight w:val="white"/>
        </w:rPr>
        <w:t xml:space="preserve">Договору. </w:t>
      </w:r>
      <w:r>
        <w:rPr>
          <w:rFonts w:ascii="Times New Roman" w:hAnsi="Times New Roman"/>
          <w:color w:val="000000"/>
          <w:sz w:val="24"/>
          <w:szCs w:val="24"/>
          <w:highlight w:val="white"/>
        </w:rPr>
      </w:r>
      <w:r>
        <w:rPr>
          <w:rFonts w:ascii="Times New Roman" w:hAnsi="Times New Roman"/>
          <w:color w:val="000000"/>
          <w:sz w:val="24"/>
          <w:szCs w:val="24"/>
          <w:highlight w:val="white"/>
        </w:rPr>
      </w:r>
    </w:p>
    <w:p>
      <w:pPr>
        <w:pStyle w:val="1761"/>
        <w:ind w:left="0" w:firstLine="567"/>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По Договору, заключенному</w:t>
      </w:r>
      <w:r>
        <w:rPr>
          <w:rFonts w:ascii="Times New Roman" w:hAnsi="Times New Roman"/>
          <w:sz w:val="24"/>
          <w:szCs w:val="24"/>
        </w:rPr>
        <w:t xml:space="preserve"> для</w:t>
      </w:r>
      <w:r>
        <w:rPr>
          <w:rFonts w:ascii="Times New Roman" w:hAnsi="Times New Roman"/>
          <w:color w:val="000000" w:themeColor="text1"/>
          <w:sz w:val="24"/>
          <w:szCs w:val="24"/>
        </w:rPr>
        <w:t xml:space="preserve"> реализации дополнительных (</w:t>
      </w:r>
      <w:r>
        <w:rPr>
          <w:rFonts w:ascii="Times New Roman" w:hAnsi="Times New Roman"/>
          <w:color w:val="000000" w:themeColor="text1"/>
          <w:sz w:val="24"/>
          <w:szCs w:val="24"/>
        </w:rPr>
        <w:t xml:space="preserve">нетарифных) услуг, п</w:t>
      </w:r>
      <w:r>
        <w:rPr>
          <w:rFonts w:ascii="Times New Roman" w:hAnsi="Times New Roman"/>
          <w:color w:val="000000"/>
          <w:sz w:val="24"/>
          <w:szCs w:val="24"/>
        </w:rPr>
        <w:t xml:space="preserve">риемка работ оформляется </w:t>
      </w:r>
      <w:r>
        <w:rPr>
          <w:rFonts w:ascii="Times New Roman" w:hAnsi="Times New Roman"/>
          <w:sz w:val="24"/>
          <w:szCs w:val="24"/>
        </w:rPr>
        <w:t xml:space="preserve">актом приема-передачи работ в полном объеме.</w:t>
      </w:r>
      <w:r>
        <w:rPr>
          <w:rFonts w:ascii="Times New Roman" w:hAnsi="Times New Roman"/>
          <w:color w:val="000000"/>
          <w:sz w:val="24"/>
          <w:szCs w:val="24"/>
        </w:rPr>
      </w:r>
      <w:r>
        <w:rPr>
          <w:rFonts w:ascii="Times New Roman" w:hAnsi="Times New Roman"/>
          <w:color w:val="000000"/>
          <w:sz w:val="24"/>
          <w:szCs w:val="24"/>
        </w:rPr>
      </w:r>
    </w:p>
    <w:p>
      <w:pPr>
        <w:pStyle w:val="1761"/>
        <w:numPr>
          <w:ilvl w:val="1"/>
          <w:numId w:val="6"/>
        </w:numPr>
        <w:ind w:left="0" w:firstLine="567"/>
        <w:jc w:val="both"/>
        <w:spacing w:after="0" w:line="240" w:lineRule="auto"/>
        <w:widowControl w:val="off"/>
        <w:tabs>
          <w:tab w:val="clear" w:pos="1070" w:leader="none"/>
        </w:tabs>
        <w:rPr>
          <w:rFonts w:ascii="Times New Roman" w:hAnsi="Times New Roman"/>
          <w:color w:val="000000"/>
          <w:sz w:val="24"/>
          <w:szCs w:val="24"/>
        </w:rPr>
      </w:pPr>
      <w:r>
        <w:rPr>
          <w:rFonts w:ascii="Times New Roman" w:hAnsi="Times New Roman"/>
          <w:color w:val="000000"/>
          <w:sz w:val="24"/>
          <w:szCs w:val="24"/>
        </w:rPr>
        <w:t xml:space="preserve">Приемке законченного строительством объекта должны предшествовать предварительные испытания смонтированного оборудования, проводимые Подрядчиком </w:t>
      </w:r>
      <w:r>
        <w:rPr>
          <w:rFonts w:ascii="Times New Roman" w:hAnsi="Times New Roman"/>
          <w:color w:val="000000"/>
          <w:sz w:val="24"/>
          <w:szCs w:val="24"/>
        </w:rPr>
        <w:br/>
        <w:t xml:space="preserve">при участии представ</w:t>
      </w:r>
      <w:r>
        <w:rPr>
          <w:rFonts w:ascii="Times New Roman" w:hAnsi="Times New Roman"/>
          <w:color w:val="000000"/>
          <w:sz w:val="24"/>
          <w:szCs w:val="24"/>
        </w:rPr>
        <w:t xml:space="preserve">ителей Заказчика и иных заинтересованных лиц.</w:t>
      </w:r>
      <w:r>
        <w:rPr>
          <w:rFonts w:ascii="Times New Roman" w:hAnsi="Times New Roman"/>
          <w:color w:val="000000"/>
          <w:sz w:val="24"/>
          <w:szCs w:val="24"/>
        </w:rPr>
      </w:r>
      <w:r>
        <w:rPr>
          <w:rFonts w:ascii="Times New Roman" w:hAnsi="Times New Roman"/>
          <w:color w:val="000000"/>
          <w:sz w:val="24"/>
          <w:szCs w:val="24"/>
        </w:rPr>
      </w:r>
    </w:p>
    <w:p>
      <w:pPr>
        <w:pStyle w:val="1761"/>
        <w:numPr>
          <w:ilvl w:val="1"/>
          <w:numId w:val="6"/>
        </w:numPr>
        <w:ind w:left="0" w:firstLine="567"/>
        <w:jc w:val="both"/>
        <w:spacing w:after="0" w:line="240" w:lineRule="auto"/>
        <w:widowControl w:val="off"/>
        <w:tabs>
          <w:tab w:val="clear" w:pos="1070" w:leader="none"/>
        </w:tabs>
        <w:rPr>
          <w:rFonts w:ascii="Times New Roman" w:hAnsi="Times New Roman"/>
          <w:color w:val="000000"/>
          <w:sz w:val="24"/>
          <w:szCs w:val="24"/>
        </w:rPr>
      </w:pPr>
      <w:r>
        <w:rPr>
          <w:rFonts w:ascii="Times New Roman" w:hAnsi="Times New Roman"/>
          <w:color w:val="000000"/>
          <w:sz w:val="24"/>
          <w:szCs w:val="24"/>
        </w:rPr>
        <w:t xml:space="preserve">Приемка объекта может осуществляться только при положительном результате предварительных испытаний.</w:t>
      </w:r>
      <w:r>
        <w:rPr>
          <w:rFonts w:ascii="Times New Roman" w:hAnsi="Times New Roman"/>
          <w:color w:val="000000"/>
          <w:sz w:val="24"/>
          <w:szCs w:val="24"/>
        </w:rPr>
      </w:r>
      <w:r>
        <w:rPr>
          <w:rFonts w:ascii="Times New Roman" w:hAnsi="Times New Roman"/>
          <w:color w:val="000000"/>
          <w:sz w:val="24"/>
          <w:szCs w:val="24"/>
        </w:rPr>
      </w:r>
    </w:p>
    <w:p>
      <w:pPr>
        <w:pStyle w:val="1761"/>
        <w:numPr>
          <w:ilvl w:val="1"/>
          <w:numId w:val="6"/>
        </w:numPr>
        <w:ind w:left="0" w:firstLine="567"/>
        <w:jc w:val="both"/>
        <w:spacing w:after="0" w:line="240" w:lineRule="auto"/>
        <w:widowControl w:val="off"/>
        <w:tabs>
          <w:tab w:val="clear" w:pos="1070" w:leader="none"/>
        </w:tabs>
        <w:rPr>
          <w:rFonts w:ascii="Times New Roman" w:hAnsi="Times New Roman"/>
          <w:color w:val="000000"/>
          <w:sz w:val="24"/>
          <w:szCs w:val="24"/>
        </w:rPr>
      </w:pPr>
      <w:r>
        <w:rPr>
          <w:rFonts w:ascii="Times New Roman" w:hAnsi="Times New Roman"/>
          <w:color w:val="000000"/>
          <w:sz w:val="24"/>
          <w:szCs w:val="24"/>
        </w:rPr>
        <w:t xml:space="preserve">Результаты испытаний оформляются соответствующими актами, которые подписываются  сторонами и иными  уполномоче</w:t>
      </w:r>
      <w:r>
        <w:rPr>
          <w:rFonts w:ascii="Times New Roman" w:hAnsi="Times New Roman"/>
          <w:color w:val="000000"/>
          <w:sz w:val="24"/>
          <w:szCs w:val="24"/>
        </w:rPr>
        <w:t xml:space="preserve">нными лицами, принимавшими участие </w:t>
      </w:r>
      <w:r>
        <w:rPr>
          <w:rFonts w:ascii="Times New Roman" w:hAnsi="Times New Roman"/>
          <w:color w:val="000000"/>
          <w:sz w:val="24"/>
          <w:szCs w:val="24"/>
        </w:rPr>
        <w:br/>
        <w:t xml:space="preserve">в предварительных испытаниях.</w:t>
      </w:r>
      <w:r>
        <w:rPr>
          <w:rFonts w:ascii="Times New Roman" w:hAnsi="Times New Roman"/>
          <w:color w:val="000000"/>
          <w:sz w:val="24"/>
          <w:szCs w:val="24"/>
        </w:rPr>
      </w:r>
      <w:r>
        <w:rPr>
          <w:rFonts w:ascii="Times New Roman" w:hAnsi="Times New Roman"/>
          <w:color w:val="000000"/>
          <w:sz w:val="24"/>
          <w:szCs w:val="24"/>
        </w:rPr>
      </w:r>
    </w:p>
    <w:p>
      <w:pPr>
        <w:pStyle w:val="1761"/>
        <w:numPr>
          <w:ilvl w:val="1"/>
          <w:numId w:val="6"/>
        </w:numPr>
        <w:ind w:left="0" w:firstLine="567"/>
        <w:jc w:val="both"/>
        <w:spacing w:after="0" w:line="240" w:lineRule="auto"/>
        <w:widowControl w:val="off"/>
        <w:tabs>
          <w:tab w:val="clear" w:pos="1070" w:leader="none"/>
        </w:tabs>
        <w:rPr>
          <w:rFonts w:ascii="Times New Roman" w:hAnsi="Times New Roman"/>
          <w:color w:val="000000"/>
          <w:sz w:val="24"/>
          <w:szCs w:val="24"/>
        </w:rPr>
      </w:pPr>
      <w:r>
        <w:rPr>
          <w:rFonts w:ascii="Times New Roman" w:hAnsi="Times New Roman"/>
          <w:color w:val="000000"/>
          <w:sz w:val="24"/>
          <w:szCs w:val="24"/>
        </w:rPr>
        <w:t xml:space="preserve">При обнаружении Заказчиком в ходе приемки объекта недостатков </w:t>
      </w:r>
      <w:r>
        <w:rPr>
          <w:rFonts w:ascii="Times New Roman" w:hAnsi="Times New Roman"/>
          <w:color w:val="000000"/>
          <w:sz w:val="24"/>
          <w:szCs w:val="24"/>
        </w:rPr>
        <w:br/>
        <w:t xml:space="preserve">в выполненной работе сторонами составляется рекламационный акт, в котором фиксируется перечень дефектов (недоделок) и сроки их </w:t>
      </w:r>
      <w:r>
        <w:rPr>
          <w:rFonts w:ascii="Times New Roman" w:hAnsi="Times New Roman"/>
          <w:color w:val="000000"/>
          <w:sz w:val="24"/>
          <w:szCs w:val="24"/>
        </w:rPr>
        <w:t xml:space="preserve">устранения Подрядчиком. При отказе (уклонении) Подрядчика от подписания указанного акта, в нем делается отметка об этом и подписанный Заказчиком акт (перечень дефектов) подтверждается третьей стороной (экспертом) </w:t>
      </w:r>
      <w:r>
        <w:rPr>
          <w:rFonts w:ascii="Times New Roman" w:hAnsi="Times New Roman"/>
          <w:color w:val="000000"/>
          <w:sz w:val="24"/>
          <w:szCs w:val="24"/>
        </w:rPr>
        <w:br/>
        <w:t xml:space="preserve">по выбору Заказчика.</w:t>
      </w:r>
      <w:r>
        <w:rPr>
          <w:rFonts w:ascii="Times New Roman" w:hAnsi="Times New Roman"/>
          <w:color w:val="000000"/>
          <w:sz w:val="24"/>
          <w:szCs w:val="24"/>
        </w:rPr>
      </w:r>
      <w:r>
        <w:rPr>
          <w:rFonts w:ascii="Times New Roman" w:hAnsi="Times New Roman"/>
          <w:color w:val="000000"/>
          <w:sz w:val="24"/>
          <w:szCs w:val="24"/>
        </w:rPr>
      </w:r>
    </w:p>
    <w:p>
      <w:pPr>
        <w:pStyle w:val="1761"/>
        <w:numPr>
          <w:ilvl w:val="1"/>
          <w:numId w:val="6"/>
        </w:numPr>
        <w:ind w:left="0" w:firstLine="567"/>
        <w:jc w:val="both"/>
        <w:spacing w:after="0" w:line="240" w:lineRule="auto"/>
        <w:widowControl w:val="off"/>
        <w:tabs>
          <w:tab w:val="clear" w:pos="1070" w:leader="none"/>
        </w:tabs>
        <w:rPr>
          <w:rFonts w:ascii="Times New Roman" w:hAnsi="Times New Roman"/>
          <w:color w:val="000000"/>
          <w:sz w:val="24"/>
          <w:szCs w:val="24"/>
        </w:rPr>
      </w:pPr>
      <w:r>
        <w:rPr>
          <w:rFonts w:ascii="Times New Roman" w:hAnsi="Times New Roman"/>
          <w:color w:val="000000"/>
          <w:sz w:val="24"/>
          <w:szCs w:val="24"/>
        </w:rPr>
        <w:t xml:space="preserve">Подрядчик обязан устр</w:t>
      </w:r>
      <w:r>
        <w:rPr>
          <w:rFonts w:ascii="Times New Roman" w:hAnsi="Times New Roman"/>
          <w:color w:val="000000"/>
          <w:sz w:val="24"/>
          <w:szCs w:val="24"/>
        </w:rPr>
        <w:t xml:space="preserve">анить все обнаруженные недостатки своими силами </w:t>
      </w:r>
      <w:r>
        <w:rPr>
          <w:rFonts w:ascii="Times New Roman" w:hAnsi="Times New Roman"/>
          <w:color w:val="000000"/>
          <w:sz w:val="24"/>
          <w:szCs w:val="24"/>
        </w:rPr>
        <w:br/>
        <w:t xml:space="preserve">и за свой счет в сроки, указанные в рекламационном акте, обеспечив при этом сохранность объекта или его части, в которой производится устранение недостатков, а также находящегося там оборудования, и несет от</w:t>
      </w:r>
      <w:r>
        <w:rPr>
          <w:rFonts w:ascii="Times New Roman" w:hAnsi="Times New Roman"/>
          <w:color w:val="000000"/>
          <w:sz w:val="24"/>
          <w:szCs w:val="24"/>
        </w:rPr>
        <w:t xml:space="preserve">ветственность за их утрату, повреждение или недостачу.</w:t>
      </w:r>
      <w:r>
        <w:rPr>
          <w:rFonts w:ascii="Times New Roman" w:hAnsi="Times New Roman"/>
          <w:color w:val="000000"/>
          <w:sz w:val="24"/>
          <w:szCs w:val="24"/>
        </w:rPr>
      </w:r>
      <w:r>
        <w:rPr>
          <w:rFonts w:ascii="Times New Roman" w:hAnsi="Times New Roman"/>
          <w:color w:val="000000"/>
          <w:sz w:val="24"/>
          <w:szCs w:val="24"/>
        </w:rPr>
      </w:r>
    </w:p>
    <w:p>
      <w:pPr>
        <w:pStyle w:val="1761"/>
        <w:numPr>
          <w:ilvl w:val="1"/>
          <w:numId w:val="6"/>
        </w:numPr>
        <w:ind w:left="0" w:firstLine="567"/>
        <w:jc w:val="both"/>
        <w:spacing w:after="0" w:line="240" w:lineRule="auto"/>
        <w:widowControl w:val="off"/>
        <w:tabs>
          <w:tab w:val="clear" w:pos="1070" w:leader="none"/>
        </w:tabs>
        <w:rPr>
          <w:rFonts w:ascii="Times New Roman" w:hAnsi="Times New Roman"/>
          <w:color w:val="000000"/>
          <w:sz w:val="24"/>
          <w:szCs w:val="24"/>
        </w:rPr>
      </w:pPr>
      <w:r>
        <w:rPr>
          <w:rFonts w:ascii="Times New Roman" w:hAnsi="Times New Roman"/>
          <w:color w:val="000000"/>
          <w:sz w:val="24"/>
          <w:szCs w:val="24"/>
        </w:rPr>
        <w:t xml:space="preserve">Устранение Подрядчиком в установленные сроки выявленных недостатков не освобождает его от уплаты неустойки, предусмотренной Договором.</w:t>
      </w:r>
      <w:r>
        <w:rPr>
          <w:rFonts w:ascii="Times New Roman" w:hAnsi="Times New Roman"/>
          <w:color w:val="000000"/>
          <w:sz w:val="24"/>
          <w:szCs w:val="24"/>
        </w:rPr>
      </w:r>
      <w:r>
        <w:rPr>
          <w:rFonts w:ascii="Times New Roman" w:hAnsi="Times New Roman"/>
          <w:color w:val="000000"/>
          <w:sz w:val="24"/>
          <w:szCs w:val="24"/>
        </w:rPr>
      </w:r>
    </w:p>
    <w:p>
      <w:pPr>
        <w:pStyle w:val="1761"/>
        <w:numPr>
          <w:ilvl w:val="1"/>
          <w:numId w:val="6"/>
        </w:numPr>
        <w:ind w:left="0" w:firstLine="567"/>
        <w:jc w:val="both"/>
        <w:spacing w:after="0" w:line="240" w:lineRule="auto"/>
        <w:widowControl w:val="off"/>
        <w:tabs>
          <w:tab w:val="clear" w:pos="1070" w:leader="none"/>
        </w:tabs>
        <w:rPr>
          <w:rFonts w:ascii="Times New Roman" w:hAnsi="Times New Roman"/>
          <w:color w:val="000000"/>
          <w:sz w:val="24"/>
          <w:szCs w:val="24"/>
        </w:rPr>
      </w:pPr>
      <w:r>
        <w:rPr>
          <w:rFonts w:ascii="Times New Roman" w:hAnsi="Times New Roman"/>
          <w:color w:val="000000"/>
          <w:sz w:val="24"/>
          <w:szCs w:val="24"/>
        </w:rPr>
        <w:t xml:space="preserve">Заказчик вправе отказаться от приемки объекта в случае обнаружения</w:t>
      </w:r>
      <w:r>
        <w:rPr>
          <w:rFonts w:ascii="Times New Roman" w:hAnsi="Times New Roman"/>
          <w:color w:val="000000"/>
          <w:sz w:val="24"/>
          <w:szCs w:val="24"/>
        </w:rPr>
        <w:t xml:space="preserve"> недостатков, которые исключают его эксплуатацию и не могут быть устранены Подрядчиком или Заказчиком.</w:t>
      </w:r>
      <w:r>
        <w:rPr>
          <w:rFonts w:ascii="Times New Roman" w:hAnsi="Times New Roman"/>
          <w:color w:val="000000"/>
          <w:sz w:val="24"/>
          <w:szCs w:val="24"/>
        </w:rPr>
      </w:r>
      <w:r>
        <w:rPr>
          <w:rFonts w:ascii="Times New Roman" w:hAnsi="Times New Roman"/>
          <w:color w:val="000000"/>
          <w:sz w:val="24"/>
          <w:szCs w:val="24"/>
        </w:rPr>
      </w:r>
    </w:p>
    <w:p>
      <w:pPr>
        <w:pStyle w:val="1761"/>
        <w:numPr>
          <w:ilvl w:val="1"/>
          <w:numId w:val="6"/>
        </w:numPr>
        <w:ind w:left="0" w:firstLine="567"/>
        <w:jc w:val="both"/>
        <w:spacing w:after="0" w:line="240" w:lineRule="auto"/>
        <w:widowControl w:val="off"/>
        <w:tabs>
          <w:tab w:val="clear" w:pos="1070" w:leader="none"/>
        </w:tabs>
        <w:rPr>
          <w:rFonts w:ascii="Times New Roman" w:hAnsi="Times New Roman"/>
          <w:color w:val="000000"/>
          <w:sz w:val="24"/>
          <w:szCs w:val="24"/>
        </w:rPr>
      </w:pPr>
      <w:r>
        <w:rPr>
          <w:rFonts w:ascii="Times New Roman" w:hAnsi="Times New Roman"/>
          <w:color w:val="000000"/>
          <w:sz w:val="24"/>
          <w:szCs w:val="24"/>
        </w:rPr>
        <w:t xml:space="preserve">Датой сдачи объекта в эксплуатацию считается дата утверждения Заказчиком акта приемки законченного строительством объекта приемочной комиссией (форма </w:t>
      </w:r>
      <w:r>
        <w:rPr>
          <w:rFonts w:ascii="Times New Roman" w:hAnsi="Times New Roman"/>
          <w:color w:val="000000"/>
          <w:sz w:val="24"/>
          <w:szCs w:val="24"/>
        </w:rPr>
        <w:br/>
        <w:t xml:space="preserve">№ </w:t>
      </w:r>
      <w:r>
        <w:rPr>
          <w:rFonts w:ascii="Times New Roman" w:hAnsi="Times New Roman"/>
          <w:color w:val="000000"/>
          <w:sz w:val="24"/>
          <w:szCs w:val="24"/>
        </w:rPr>
        <w:t xml:space="preserve">РС-14.</w:t>
      </w:r>
      <w:r>
        <w:rPr>
          <w:rFonts w:ascii="Times New Roman" w:hAnsi="Times New Roman"/>
          <w:color w:val="000000"/>
          <w:sz w:val="24"/>
          <w:szCs w:val="24"/>
        </w:rPr>
      </w:r>
      <w:r>
        <w:rPr>
          <w:rFonts w:ascii="Times New Roman" w:hAnsi="Times New Roman"/>
          <w:color w:val="000000"/>
          <w:sz w:val="24"/>
          <w:szCs w:val="24"/>
        </w:rPr>
      </w:r>
    </w:p>
    <w:p>
      <w:pPr>
        <w:pStyle w:val="1761"/>
        <w:ind w:left="0" w:firstLine="567"/>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Для Договора, заключенного</w:t>
      </w:r>
      <w:r>
        <w:rPr>
          <w:rFonts w:ascii="Times New Roman" w:hAnsi="Times New Roman"/>
          <w:sz w:val="24"/>
          <w:szCs w:val="24"/>
        </w:rPr>
        <w:t xml:space="preserve"> для</w:t>
      </w:r>
      <w:r>
        <w:rPr>
          <w:rFonts w:ascii="Times New Roman" w:hAnsi="Times New Roman"/>
          <w:color w:val="000000" w:themeColor="text1"/>
          <w:sz w:val="24"/>
          <w:szCs w:val="24"/>
        </w:rPr>
        <w:t xml:space="preserve"> реализации дополнительных (нетарифных) услуг,</w:t>
      </w:r>
      <w:r>
        <w:rPr>
          <w:rFonts w:ascii="Times New Roman" w:hAnsi="Times New Roman"/>
          <w:color w:val="000000"/>
          <w:sz w:val="24"/>
          <w:szCs w:val="24"/>
        </w:rPr>
        <w:t xml:space="preserve"> датой сдачи объекта в эксплуатацию считается дата утверждения Заказчиком </w:t>
      </w:r>
      <w:r>
        <w:rPr>
          <w:rFonts w:ascii="Times New Roman" w:hAnsi="Times New Roman"/>
          <w:sz w:val="24"/>
          <w:szCs w:val="24"/>
        </w:rPr>
        <w:t xml:space="preserve">акта приема-передачи работ в полном объеме.</w:t>
      </w:r>
      <w:r>
        <w:rPr>
          <w:rFonts w:ascii="Times New Roman" w:hAnsi="Times New Roman"/>
          <w:color w:val="000000"/>
          <w:sz w:val="24"/>
          <w:szCs w:val="24"/>
        </w:rPr>
      </w:r>
      <w:r>
        <w:rPr>
          <w:rFonts w:ascii="Times New Roman" w:hAnsi="Times New Roman"/>
          <w:color w:val="000000"/>
          <w:sz w:val="24"/>
          <w:szCs w:val="24"/>
        </w:rPr>
      </w:r>
    </w:p>
    <w:p>
      <w:pPr>
        <w:pStyle w:val="1761"/>
        <w:numPr>
          <w:ilvl w:val="1"/>
          <w:numId w:val="6"/>
        </w:numPr>
        <w:ind w:left="0" w:firstLine="567"/>
        <w:jc w:val="both"/>
        <w:spacing w:after="0" w:line="240" w:lineRule="auto"/>
        <w:widowControl w:val="off"/>
        <w:tabs>
          <w:tab w:val="clear" w:pos="1070" w:leader="none"/>
        </w:tabs>
        <w:rPr>
          <w:rFonts w:ascii="Times New Roman" w:hAnsi="Times New Roman"/>
          <w:color w:val="000000"/>
          <w:sz w:val="24"/>
          <w:szCs w:val="24"/>
        </w:rPr>
      </w:pPr>
      <w:r>
        <w:rPr>
          <w:rFonts w:ascii="Times New Roman" w:hAnsi="Times New Roman"/>
          <w:color w:val="000000"/>
          <w:sz w:val="24"/>
          <w:szCs w:val="24"/>
        </w:rPr>
        <w:t xml:space="preserve">Риски случайной гибели или случайного повреждения объекта, а также бремя его содержания переходят от Подрядчика к Заказчику с момента утверждения Заказчиком </w:t>
      </w:r>
      <w:r>
        <w:rPr>
          <w:rFonts w:ascii="Times New Roman" w:hAnsi="Times New Roman"/>
          <w:i/>
          <w:color w:val="000000"/>
          <w:sz w:val="24"/>
          <w:szCs w:val="24"/>
        </w:rPr>
        <w:t xml:space="preserve">акта приемки законченного строительством объекта приемочной комиссией (форма № РС-14) </w:t>
      </w:r>
      <w:r>
        <w:rPr>
          <w:rFonts w:ascii="Times New Roman" w:hAnsi="Times New Roman"/>
          <w:i/>
          <w:sz w:val="24"/>
          <w:szCs w:val="24"/>
        </w:rPr>
        <w:t xml:space="preserve">/ акта приёмк</w:t>
      </w:r>
      <w:r>
        <w:rPr>
          <w:rFonts w:ascii="Times New Roman" w:hAnsi="Times New Roman"/>
          <w:i/>
          <w:sz w:val="24"/>
          <w:szCs w:val="24"/>
        </w:rPr>
        <w:t xml:space="preserve">и-передачи Работ в полном объеме (Приложение №16)</w:t>
      </w:r>
      <w:r>
        <w:rPr>
          <w:rStyle w:val="1763"/>
          <w:rFonts w:ascii="Times New Roman" w:hAnsi="Times New Roman"/>
          <w:i/>
          <w:sz w:val="24"/>
          <w:szCs w:val="24"/>
        </w:rPr>
        <w:footnoteReference w:id="24"/>
      </w:r>
      <w:r>
        <w:rPr>
          <w:rFonts w:ascii="Times New Roman" w:hAnsi="Times New Roman"/>
          <w:i/>
          <w:color w:val="000000"/>
          <w:sz w:val="24"/>
          <w:szCs w:val="24"/>
        </w:rPr>
        <w:t xml:space="preserve">,</w:t>
      </w:r>
      <w:r>
        <w:rPr>
          <w:rFonts w:ascii="Times New Roman" w:hAnsi="Times New Roman"/>
          <w:color w:val="000000"/>
          <w:sz w:val="24"/>
          <w:szCs w:val="24"/>
        </w:rPr>
        <w:t xml:space="preserve"> а в случае обнаружения в ходе приемки объекта недостатков - с момента устранения Подрядчиком всех выявленных недостатков согласно составленного сторонами или Заказчиком рекламационного акта.</w:t>
      </w:r>
      <w:r>
        <w:rPr>
          <w:rFonts w:ascii="Times New Roman" w:hAnsi="Times New Roman"/>
          <w:color w:val="000000"/>
          <w:sz w:val="24"/>
          <w:szCs w:val="24"/>
        </w:rPr>
      </w:r>
      <w:r>
        <w:rPr>
          <w:rFonts w:ascii="Times New Roman" w:hAnsi="Times New Roman"/>
          <w:color w:val="000000"/>
          <w:sz w:val="24"/>
          <w:szCs w:val="24"/>
        </w:rPr>
      </w:r>
    </w:p>
    <w:p>
      <w:pPr>
        <w:pStyle w:val="1761"/>
        <w:numPr>
          <w:ilvl w:val="1"/>
          <w:numId w:val="6"/>
        </w:numPr>
        <w:ind w:left="0" w:firstLine="567"/>
        <w:jc w:val="both"/>
        <w:spacing w:after="0" w:line="240" w:lineRule="auto"/>
        <w:widowControl w:val="off"/>
        <w:tabs>
          <w:tab w:val="clear" w:pos="1070" w:leader="none"/>
        </w:tabs>
        <w:rPr>
          <w:rFonts w:ascii="Times New Roman" w:hAnsi="Times New Roman"/>
          <w:color w:val="000000"/>
          <w:sz w:val="24"/>
          <w:szCs w:val="24"/>
        </w:rPr>
      </w:pPr>
      <w:r>
        <w:rPr>
          <w:rFonts w:ascii="Times New Roman" w:hAnsi="Times New Roman"/>
          <w:color w:val="000000"/>
          <w:sz w:val="24"/>
          <w:szCs w:val="24"/>
        </w:rPr>
        <w:t xml:space="preserve">Приемка работ</w:t>
      </w:r>
      <w:r>
        <w:rPr>
          <w:rFonts w:ascii="Times New Roman" w:hAnsi="Times New Roman"/>
          <w:color w:val="000000"/>
          <w:sz w:val="24"/>
          <w:szCs w:val="24"/>
        </w:rPr>
        <w:t xml:space="preserve"> по восстановлению благоустройства территории осуществляется Заказчиком при условии документального подтверждения о закрытии ордера ГАТИ на производство работ уполномоченным органом. Заказчик вправе отказаться от приемки объекта в случае обнаружения недост</w:t>
      </w:r>
      <w:r>
        <w:rPr>
          <w:rFonts w:ascii="Times New Roman" w:hAnsi="Times New Roman"/>
          <w:color w:val="000000"/>
          <w:sz w:val="24"/>
          <w:szCs w:val="24"/>
        </w:rPr>
        <w:t xml:space="preserve">атков, которые исключают его эксплуатацию и не могут быть устранены Подрядчиком или Заказчиком.</w:t>
      </w:r>
      <w:r>
        <w:rPr>
          <w:rFonts w:ascii="Times New Roman" w:hAnsi="Times New Roman"/>
          <w:color w:val="000000"/>
          <w:sz w:val="24"/>
          <w:szCs w:val="24"/>
        </w:rPr>
      </w:r>
      <w:r>
        <w:rPr>
          <w:rFonts w:ascii="Times New Roman" w:hAnsi="Times New Roman"/>
          <w:color w:val="000000"/>
          <w:sz w:val="24"/>
          <w:szCs w:val="24"/>
        </w:rPr>
      </w:r>
    </w:p>
    <w:p>
      <w:pPr>
        <w:ind w:firstLine="851"/>
        <w:jc w:val="both"/>
        <w:tabs>
          <w:tab w:val="num" w:pos="1276" w:leader="none"/>
        </w:tabs>
        <w:rPr>
          <w:bCs/>
          <w:color w:val="000000"/>
        </w:rPr>
      </w:pPr>
      <w:r>
        <w:rPr>
          <w:bCs/>
          <w:color w:val="000000"/>
        </w:rPr>
      </w:r>
      <w:r>
        <w:rPr>
          <w:bCs/>
          <w:color w:val="000000"/>
        </w:rPr>
      </w:r>
      <w:r>
        <w:rPr>
          <w:bCs/>
          <w:color w:val="000000"/>
        </w:rPr>
      </w:r>
    </w:p>
    <w:p>
      <w:pPr>
        <w:pStyle w:val="1761"/>
        <w:numPr>
          <w:ilvl w:val="0"/>
          <w:numId w:val="6"/>
        </w:numPr>
        <w:ind w:left="0"/>
        <w:jc w:val="center"/>
        <w:spacing w:after="0" w:line="240" w:lineRule="auto"/>
        <w:tabs>
          <w:tab w:val="left" w:pos="425" w:leader="none"/>
        </w:tabs>
        <w:rPr>
          <w:rFonts w:ascii="Times New Roman" w:hAnsi="Times New Roman"/>
          <w:b/>
          <w:bCs/>
          <w:color w:val="000000"/>
          <w:sz w:val="24"/>
          <w:szCs w:val="24"/>
        </w:rPr>
      </w:pPr>
      <w:r>
        <w:rPr>
          <w:rFonts w:ascii="Times New Roman" w:hAnsi="Times New Roman"/>
          <w:b/>
          <w:bCs/>
          <w:color w:val="000000"/>
          <w:sz w:val="24"/>
          <w:szCs w:val="24"/>
        </w:rPr>
        <w:t xml:space="preserve">Гарантийные обязательства</w:t>
      </w:r>
      <w:r>
        <w:rPr>
          <w:rFonts w:ascii="Times New Roman" w:hAnsi="Times New Roman"/>
          <w:b/>
          <w:bCs/>
          <w:color w:val="000000"/>
          <w:sz w:val="24"/>
          <w:szCs w:val="24"/>
        </w:rPr>
      </w:r>
      <w:r>
        <w:rPr>
          <w:rFonts w:ascii="Times New Roman" w:hAnsi="Times New Roman"/>
          <w:b/>
          <w:bCs/>
          <w:color w:val="000000"/>
          <w:sz w:val="24"/>
          <w:szCs w:val="24"/>
        </w:rPr>
      </w:r>
    </w:p>
    <w:p>
      <w:pPr>
        <w:pStyle w:val="1761"/>
        <w:numPr>
          <w:ilvl w:val="1"/>
          <w:numId w:val="7"/>
        </w:numPr>
        <w:ind w:left="0" w:firstLine="709"/>
        <w:jc w:val="both"/>
        <w:spacing w:after="0" w:line="240" w:lineRule="auto"/>
        <w:widowControl w:val="off"/>
        <w:tabs>
          <w:tab w:val="clear" w:pos="1070" w:leader="none"/>
        </w:tabs>
        <w:rPr>
          <w:rFonts w:ascii="Times New Roman" w:hAnsi="Times New Roman"/>
          <w:color w:val="000000"/>
          <w:sz w:val="24"/>
          <w:szCs w:val="24"/>
        </w:rPr>
      </w:pPr>
      <w:r>
        <w:rPr>
          <w:rFonts w:ascii="Times New Roman" w:hAnsi="Times New Roman"/>
          <w:color w:val="000000"/>
          <w:sz w:val="24"/>
          <w:szCs w:val="24"/>
        </w:rPr>
        <w:t xml:space="preserve">Гарантийный срок эксплуатации результата Работ устанавливается не менее  3</w:t>
      </w:r>
      <w:r>
        <w:rPr>
          <w:rStyle w:val="1763"/>
          <w:rFonts w:ascii="Times New Roman" w:hAnsi="Times New Roman"/>
          <w:color w:val="000000"/>
          <w:sz w:val="24"/>
          <w:szCs w:val="24"/>
        </w:rPr>
        <w:footnoteReference w:id="25"/>
      </w:r>
      <w:r>
        <w:rPr>
          <w:rFonts w:ascii="Times New Roman" w:hAnsi="Times New Roman"/>
          <w:color w:val="000000"/>
          <w:sz w:val="24"/>
          <w:szCs w:val="24"/>
        </w:rPr>
        <w:t xml:space="preserve"> (трех) лет с момента подписания а</w:t>
      </w:r>
      <w:r>
        <w:rPr>
          <w:rFonts w:ascii="Times New Roman" w:hAnsi="Times New Roman"/>
          <w:color w:val="000000"/>
          <w:sz w:val="24"/>
          <w:szCs w:val="24"/>
        </w:rPr>
        <w:t xml:space="preserve">кта приемки законченного строительством объекта, в том числе эксплуатирующей организацией.</w:t>
      </w:r>
      <w:r>
        <w:rPr>
          <w:rFonts w:ascii="Times New Roman" w:hAnsi="Times New Roman"/>
          <w:color w:val="000000"/>
          <w:sz w:val="24"/>
          <w:szCs w:val="24"/>
        </w:rPr>
      </w:r>
      <w:r>
        <w:rPr>
          <w:rFonts w:ascii="Times New Roman" w:hAnsi="Times New Roman"/>
          <w:color w:val="000000"/>
          <w:sz w:val="24"/>
          <w:szCs w:val="24"/>
        </w:rPr>
      </w:r>
    </w:p>
    <w:p>
      <w:pPr>
        <w:ind w:firstLine="709"/>
        <w:jc w:val="both"/>
        <w:widowControl w:val="off"/>
      </w:pPr>
      <w:r>
        <w:t xml:space="preserve">7.1.1. Гарантийный срок на выполненные работы по благоустройству территории без открытого ордера ГАТИ на производство работ составляет 4 (Четыре) года и начинает исч</w:t>
      </w:r>
      <w:r>
        <w:t xml:space="preserve">исляться с даты ближайшего агротехнического периода следующего после даты подписания </w:t>
      </w:r>
      <w:r>
        <w:rPr>
          <w:i/>
          <w:color w:val="000000"/>
        </w:rPr>
        <w:t xml:space="preserve">акта приемки законченного строительством объекта приемочной комиссией (форма № РС-14) </w:t>
      </w:r>
      <w:r>
        <w:rPr>
          <w:i/>
        </w:rPr>
        <w:t xml:space="preserve">/ акта приёмки-передачи Работ в полном объеме (Приложение №16)</w:t>
      </w:r>
      <w:r>
        <w:rPr>
          <w:rStyle w:val="1763"/>
          <w:i/>
        </w:rPr>
        <w:footnoteReference w:id="26"/>
      </w:r>
      <w:r>
        <w:rPr>
          <w:i/>
          <w:color w:val="000000"/>
        </w:rPr>
        <w:t xml:space="preserve">.</w:t>
      </w:r>
      <w:r/>
    </w:p>
    <w:p>
      <w:pPr>
        <w:ind w:firstLine="709"/>
        <w:jc w:val="both"/>
      </w:pPr>
      <w:r>
        <w:t xml:space="preserve">7.1.2. В случае если</w:t>
      </w:r>
      <w:r>
        <w:t xml:space="preserve"> нарушение Подрядчиком благоустройства территории (по ордеру или без него) порождает для Заказчика несение дополнительных гарантийных обязательств</w:t>
      </w:r>
      <w:r>
        <w:rPr>
          <w:rStyle w:val="1763"/>
        </w:rPr>
        <w:footnoteReference w:id="27"/>
      </w:r>
      <w:r>
        <w:t xml:space="preserve"> на зону производства таких работ, сверх гарантийного срока, установленного пунктами 7.1. и/или 7.1.1. настоя</w:t>
      </w:r>
      <w:r>
        <w:t xml:space="preserve">щего Договора, Подрядчик принимает на себя данные дополнительные гарантийные обязательства, максимальный срок которых составляет пять лет с даты подписания </w:t>
      </w:r>
      <w:r>
        <w:rPr>
          <w:i/>
          <w:color w:val="000000"/>
        </w:rPr>
        <w:t xml:space="preserve">акта приемки законченного строительством объекта приемочной комиссией (форма № РС-14) </w:t>
      </w:r>
      <w:r>
        <w:rPr>
          <w:i/>
        </w:rPr>
        <w:t xml:space="preserve">/ акта приёмки</w:t>
      </w:r>
      <w:r>
        <w:rPr>
          <w:i/>
        </w:rPr>
        <w:t xml:space="preserve">-передачи Работ в полном объеме (Приложение №16)</w:t>
      </w:r>
      <w:r>
        <w:rPr>
          <w:rStyle w:val="1763"/>
          <w:i/>
        </w:rPr>
        <w:footnoteReference w:id="28"/>
      </w:r>
      <w:r>
        <w:rPr>
          <w:i/>
          <w:color w:val="000000"/>
        </w:rPr>
        <w:t xml:space="preserve">.</w:t>
      </w:r>
      <w:r/>
    </w:p>
    <w:p>
      <w:pPr>
        <w:pStyle w:val="1761"/>
        <w:numPr>
          <w:ilvl w:val="1"/>
          <w:numId w:val="7"/>
        </w:numPr>
        <w:ind w:left="0" w:firstLine="567"/>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В случае выявления в период гарантийного срока недостатков выполненных работ составляется двухсторонний акт. Для составления акта Подрядчик обязан направить уполномоченного представителя в пятидневный срок</w:t>
      </w:r>
      <w:r>
        <w:rPr>
          <w:rFonts w:ascii="Times New Roman" w:hAnsi="Times New Roman"/>
          <w:color w:val="000000"/>
          <w:sz w:val="24"/>
          <w:szCs w:val="24"/>
        </w:rPr>
        <w:t xml:space="preserve"> со дня получения письменного извещения Заказчика. В случае неявки представителя Подрядчика в установленный срок Заказчик вправе составить односторонний акт, один экземпляр которого направляется Подрядчику.</w:t>
      </w:r>
      <w:r>
        <w:rPr>
          <w:rFonts w:ascii="Times New Roman" w:hAnsi="Times New Roman"/>
          <w:color w:val="000000"/>
          <w:sz w:val="24"/>
          <w:szCs w:val="24"/>
        </w:rPr>
      </w:r>
      <w:r>
        <w:rPr>
          <w:rFonts w:ascii="Times New Roman" w:hAnsi="Times New Roman"/>
          <w:color w:val="000000"/>
          <w:sz w:val="24"/>
          <w:szCs w:val="24"/>
        </w:rPr>
      </w:r>
    </w:p>
    <w:p>
      <w:pPr>
        <w:pStyle w:val="1761"/>
        <w:numPr>
          <w:ilvl w:val="1"/>
          <w:numId w:val="7"/>
        </w:numPr>
        <w:ind w:left="0" w:firstLine="567"/>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Гарантийный срок продлевается на время, потребова</w:t>
      </w:r>
      <w:r>
        <w:rPr>
          <w:rFonts w:ascii="Times New Roman" w:hAnsi="Times New Roman"/>
          <w:color w:val="000000"/>
          <w:sz w:val="24"/>
          <w:szCs w:val="24"/>
        </w:rPr>
        <w:t xml:space="preserve">вшееся на устранение недостатков.</w:t>
      </w:r>
      <w:r>
        <w:rPr>
          <w:rFonts w:ascii="Times New Roman" w:hAnsi="Times New Roman"/>
          <w:color w:val="000000"/>
          <w:sz w:val="24"/>
          <w:szCs w:val="24"/>
        </w:rPr>
      </w:r>
      <w:r>
        <w:rPr>
          <w:rFonts w:ascii="Times New Roman" w:hAnsi="Times New Roman"/>
          <w:color w:val="000000"/>
          <w:sz w:val="24"/>
          <w:szCs w:val="24"/>
        </w:rPr>
      </w:r>
    </w:p>
    <w:p>
      <w:pPr>
        <w:pStyle w:val="1761"/>
        <w:numPr>
          <w:ilvl w:val="1"/>
          <w:numId w:val="7"/>
        </w:numPr>
        <w:ind w:left="0" w:firstLine="567"/>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Если в период гарантийного срока обнаружатся дефекты, допущенные  Подрядчиком при выполнении работ, то Подрядчик обязан их устранить за свой счет </w:t>
      </w:r>
      <w:r>
        <w:rPr>
          <w:rFonts w:ascii="Times New Roman" w:hAnsi="Times New Roman"/>
          <w:color w:val="000000"/>
          <w:sz w:val="24"/>
          <w:szCs w:val="24"/>
        </w:rPr>
        <w:br/>
        <w:t xml:space="preserve">и в согласованные с Заказчиком сроки, либо возмещает Заказчику затраты на и</w:t>
      </w:r>
      <w:r>
        <w:rPr>
          <w:rFonts w:ascii="Times New Roman" w:hAnsi="Times New Roman"/>
          <w:color w:val="000000"/>
          <w:sz w:val="24"/>
          <w:szCs w:val="24"/>
        </w:rPr>
        <w:t xml:space="preserve">х устранение.</w:t>
      </w:r>
      <w:r>
        <w:rPr>
          <w:rFonts w:ascii="Times New Roman" w:hAnsi="Times New Roman"/>
          <w:color w:val="000000"/>
          <w:sz w:val="24"/>
          <w:szCs w:val="24"/>
        </w:rPr>
      </w:r>
      <w:r>
        <w:rPr>
          <w:rFonts w:ascii="Times New Roman" w:hAnsi="Times New Roman"/>
          <w:color w:val="000000"/>
          <w:sz w:val="24"/>
          <w:szCs w:val="24"/>
        </w:rPr>
      </w:r>
    </w:p>
    <w:p>
      <w:pPr>
        <w:pStyle w:val="1761"/>
        <w:numPr>
          <w:ilvl w:val="1"/>
          <w:numId w:val="7"/>
        </w:numPr>
        <w:ind w:left="0" w:firstLine="567"/>
        <w:jc w:val="both"/>
        <w:widowControl w:val="off"/>
        <w:tabs>
          <w:tab w:val="clear" w:pos="1070" w:leader="none"/>
        </w:tabs>
        <w:rPr>
          <w:rFonts w:ascii="Times New Roman" w:hAnsi="Times New Roman"/>
          <w:sz w:val="24"/>
          <w:szCs w:val="24"/>
        </w:rPr>
      </w:pPr>
      <w:r>
        <w:rPr>
          <w:rFonts w:ascii="Times New Roman" w:hAnsi="Times New Roman"/>
          <w:color w:val="000000"/>
          <w:sz w:val="24"/>
          <w:szCs w:val="24"/>
        </w:rPr>
        <w:t xml:space="preserve">По истечение гарантийного срока (гарантийных сроков) Стороны подписывают </w:t>
      </w:r>
      <w:r>
        <w:rPr>
          <w:rFonts w:ascii="Times New Roman" w:hAnsi="Times New Roman"/>
          <w:sz w:val="24"/>
          <w:szCs w:val="24"/>
        </w:rPr>
        <w:t xml:space="preserve">протокол об отсутствии взаимных претензий по заранее согласованной форме.</w:t>
      </w:r>
      <w:r>
        <w:rPr>
          <w:rFonts w:ascii="Times New Roman" w:hAnsi="Times New Roman"/>
          <w:sz w:val="24"/>
          <w:szCs w:val="24"/>
        </w:rPr>
      </w:r>
      <w:r>
        <w:rPr>
          <w:rFonts w:ascii="Times New Roman" w:hAnsi="Times New Roman"/>
          <w:sz w:val="24"/>
          <w:szCs w:val="24"/>
        </w:rPr>
      </w:r>
    </w:p>
    <w:p>
      <w:pPr>
        <w:ind w:firstLine="567"/>
        <w:jc w:val="both"/>
        <w:widowControl w:val="off"/>
        <w:tabs>
          <w:tab w:val="num" w:pos="1276" w:leader="none"/>
        </w:tabs>
        <w:rPr>
          <w:color w:val="000000"/>
        </w:rPr>
      </w:pPr>
      <w:r>
        <w:rPr>
          <w:color w:val="000000"/>
        </w:rPr>
      </w:r>
      <w:r>
        <w:rPr>
          <w:color w:val="000000"/>
        </w:rPr>
      </w:r>
      <w:r>
        <w:rPr>
          <w:color w:val="000000"/>
        </w:rPr>
      </w:r>
    </w:p>
    <w:p>
      <w:pPr>
        <w:pStyle w:val="1761"/>
        <w:numPr>
          <w:ilvl w:val="0"/>
          <w:numId w:val="7"/>
        </w:numPr>
        <w:ind w:left="0"/>
        <w:jc w:val="center"/>
        <w:spacing w:after="0" w:line="240" w:lineRule="auto"/>
        <w:rPr>
          <w:rFonts w:ascii="Times New Roman" w:hAnsi="Times New Roman"/>
          <w:b/>
          <w:bCs/>
          <w:color w:val="000000"/>
          <w:sz w:val="24"/>
          <w:szCs w:val="24"/>
        </w:rPr>
      </w:pPr>
      <w:r>
        <w:rPr>
          <w:rFonts w:ascii="Times New Roman" w:hAnsi="Times New Roman"/>
          <w:b/>
          <w:bCs/>
          <w:color w:val="000000"/>
          <w:sz w:val="24"/>
          <w:szCs w:val="24"/>
        </w:rPr>
        <w:t xml:space="preserve">Ответственность сторон</w:t>
      </w:r>
      <w:r>
        <w:rPr>
          <w:rFonts w:ascii="Times New Roman" w:hAnsi="Times New Roman"/>
          <w:b/>
          <w:bCs/>
          <w:color w:val="000000"/>
          <w:sz w:val="24"/>
          <w:szCs w:val="24"/>
        </w:rPr>
      </w:r>
      <w:r>
        <w:rPr>
          <w:rFonts w:ascii="Times New Roman" w:hAnsi="Times New Roman"/>
          <w:b/>
          <w:bCs/>
          <w:color w:val="000000"/>
          <w:sz w:val="24"/>
          <w:szCs w:val="24"/>
        </w:rPr>
      </w:r>
    </w:p>
    <w:p>
      <w:pPr>
        <w:jc w:val="both"/>
        <w:tabs>
          <w:tab w:val="left" w:pos="0" w:leader="none"/>
        </w:tabs>
      </w:pPr>
      <w:r>
        <w:tab/>
        <w:t xml:space="preserve">8.1. </w:t>
      </w:r>
      <w:r>
        <w:t xml:space="preserve">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соответствующего требования Заказчика обязан уплатить</w:t>
      </w:r>
      <w:r>
        <w:rPr>
          <w:color w:val="000000"/>
        </w:rPr>
        <w:t xml:space="preserve">:</w:t>
      </w:r>
      <w:r>
        <w:tab/>
      </w:r>
      <w:r/>
    </w:p>
    <w:p>
      <w:pPr>
        <w:ind w:firstLine="709"/>
        <w:jc w:val="both"/>
        <w:rPr>
          <w:bCs/>
        </w:rPr>
      </w:pPr>
      <w:r>
        <w:rPr>
          <w:bCs/>
        </w:rPr>
        <w:t xml:space="preserve">8.1.1. за несоблюдение</w:t>
      </w:r>
      <w:r>
        <w:rPr>
          <w:bCs/>
        </w:rPr>
        <w:t xml:space="preserve"> срока окончания работ, в том числе по этапам – пени в размере </w:t>
      </w:r>
      <w:r>
        <w:t xml:space="preserve">0,1 % (ноля целых одной десятой процента)</w:t>
      </w:r>
      <w:r>
        <w:rPr>
          <w:bCs/>
        </w:rPr>
        <w:t xml:space="preserve"> от цены Договора за каждый день просрочки до фактического исполнения обязательства.</w:t>
      </w:r>
      <w:r>
        <w:rPr>
          <w:bCs/>
        </w:rPr>
      </w:r>
      <w:r>
        <w:rPr>
          <w:bCs/>
        </w:rPr>
      </w:r>
    </w:p>
    <w:p>
      <w:pPr>
        <w:ind w:firstLine="709"/>
        <w:jc w:val="both"/>
        <w:shd w:val="clear" w:color="auto" w:fill="ffffff"/>
        <w:widowControl w:val="off"/>
        <w:rPr>
          <w:bCs/>
        </w:rPr>
      </w:pPr>
      <w:r>
        <w:rPr>
          <w:bCs/>
        </w:rPr>
        <w:t xml:space="preserve">8.1.2. за задержку устранения недостатков Работ и/или задержку возм</w:t>
      </w:r>
      <w:r>
        <w:rPr>
          <w:bCs/>
        </w:rPr>
        <w:t xml:space="preserve">ещения расходов Заказчика на устранение недостатков, - пени в размере 1% (одного процента) от стоимости работ по устранению недостатков и стоимости работ, в результатах которых устраняются недостатки, за каждый день просрочки;</w:t>
      </w:r>
      <w:r>
        <w:rPr>
          <w:bCs/>
        </w:rPr>
      </w:r>
      <w:r>
        <w:rPr>
          <w:bCs/>
        </w:rPr>
      </w:r>
    </w:p>
    <w:p>
      <w:pPr>
        <w:ind w:firstLine="709"/>
        <w:jc w:val="both"/>
        <w:shd w:val="clear" w:color="auto" w:fill="ffffff"/>
        <w:widowControl w:val="off"/>
      </w:pPr>
      <w:r>
        <w:t xml:space="preserve">8.1.3. за задержку устранения</w:t>
      </w:r>
      <w:r>
        <w:t xml:space="preserve"> дефектов в работах и конструкциях (оборудовании, материалах, сетях и т.п.) и/или за задержку возмещения расходов Заказчика на устранение указанных дефектов, - пени в размере 1% (одного процента) от стоимости работ </w:t>
      </w:r>
      <w:r>
        <w:br/>
        <w:t xml:space="preserve">по устранению дефектов и стоимости подве</w:t>
      </w:r>
      <w:r>
        <w:t xml:space="preserve">рженных дефектам конструкций (оборудования, материалов, сетей и т.п.) за каждый день просрочки;</w:t>
      </w:r>
      <w:r/>
    </w:p>
    <w:p>
      <w:pPr>
        <w:ind w:firstLine="709"/>
        <w:jc w:val="both"/>
        <w:shd w:val="clear" w:color="auto" w:fill="ffffff"/>
        <w:widowControl w:val="off"/>
      </w:pPr>
      <w:r>
        <w:t xml:space="preserve">8.1.4. в случае </w:t>
      </w:r>
      <w:r>
        <w:t xml:space="preserve">невывоза</w:t>
      </w:r>
      <w:r>
        <w:t xml:space="preserve"> (неполного вывоза) на день сдачи результата работ Подрядчиком отходов и/или мусора, оставшихся после окончания работ</w:t>
      </w:r>
      <w:r>
        <w:t xml:space="preserve"> на территории проведения работ – штраф в трехкратном размере от стоимости вывоза мусора;</w:t>
      </w:r>
      <w:r/>
    </w:p>
    <w:p>
      <w:pPr>
        <w:ind w:firstLine="709"/>
        <w:jc w:val="both"/>
        <w:shd w:val="clear" w:color="auto" w:fill="ffffff"/>
        <w:widowControl w:val="off"/>
      </w:pPr>
      <w:r>
        <w:t xml:space="preserve">8.1.5. за несвоевременное освобождение строительной площадки от принадлежащего ему имущества - пени в размере 0,2% (ноля целых двух десятых процента) от цены Договора</w:t>
      </w:r>
      <w:r>
        <w:t xml:space="preserve"> за каждые 10 (десять) дней просрочки до фактического исполнения обязательства.</w:t>
      </w:r>
      <w:r/>
    </w:p>
    <w:p>
      <w:pPr>
        <w:ind w:firstLine="709"/>
        <w:jc w:val="both"/>
        <w:shd w:val="clear" w:color="auto" w:fill="ffffff"/>
        <w:widowControl w:val="off"/>
      </w:pPr>
      <w:r>
        <w:t xml:space="preserve">8.1.6. в случае заключения Подрядчиком для выполнения работ по Договору </w:t>
      </w:r>
      <w:r>
        <w:br/>
        <w:t xml:space="preserve">без согласования с Заказчиком договоров, предметом которых является исполнение обязательств по Договору</w:t>
      </w:r>
      <w:r>
        <w:t xml:space="preserve">, либо выявления фактов выполнения Работ, предусмотренных Договором, лицами с которыми у Подрядчика, Субподрядчика отсутствуют заключенные договоры, – штраф в размере 200 000 (двухсот тысяч) руб. за каждый зафиксированный случай.</w:t>
      </w:r>
      <w:r/>
    </w:p>
    <w:p>
      <w:pPr>
        <w:pStyle w:val="1761"/>
        <w:numPr>
          <w:ilvl w:val="2"/>
          <w:numId w:val="25"/>
        </w:numPr>
        <w:ind w:left="0" w:firstLine="709"/>
        <w:jc w:val="both"/>
        <w:spacing w:after="0" w:line="240" w:lineRule="auto"/>
        <w:rPr>
          <w:rFonts w:ascii="Times New Roman" w:hAnsi="Times New Roman"/>
          <w:sz w:val="24"/>
          <w:szCs w:val="24"/>
          <w:highlight w:val="white"/>
        </w:rPr>
      </w:pPr>
      <w:r>
        <w:rPr>
          <w:rFonts w:ascii="Times New Roman" w:hAnsi="Times New Roman"/>
          <w:bCs/>
          <w:sz w:val="24"/>
          <w:szCs w:val="24"/>
        </w:rPr>
        <w:t xml:space="preserve">За совершение действий или бездействий, в результате которых нарушен график отключений электросетевого оборудования, - шт</w:t>
      </w:r>
      <w:r>
        <w:rPr>
          <w:rFonts w:ascii="Times New Roman" w:hAnsi="Times New Roman"/>
          <w:bCs/>
          <w:sz w:val="24"/>
          <w:szCs w:val="24"/>
        </w:rPr>
        <w:t xml:space="preserve">раф в размере 100 000 (ста тысяч) рублей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w:t>
      </w:r>
      <w:r>
        <w:rPr>
          <w:rFonts w:ascii="Times New Roman" w:hAnsi="Times New Roman"/>
          <w:bCs/>
          <w:sz w:val="24"/>
          <w:szCs w:val="24"/>
          <w:highlight w:val="white"/>
        </w:rPr>
        <w:t xml:space="preserve">щности по расчетам системного оператора, но не </w:t>
      </w:r>
      <w:r>
        <w:rPr>
          <w:rFonts w:ascii="Times New Roman" w:hAnsi="Times New Roman"/>
          <w:bCs/>
          <w:sz w:val="24"/>
          <w:szCs w:val="24"/>
          <w:highlight w:val="white"/>
        </w:rPr>
        <w:t xml:space="preserve">менее 100 000 (ста тысяч) рублей.</w:t>
      </w:r>
      <w:r>
        <w:rPr>
          <w:rFonts w:ascii="Times New Roman" w:hAnsi="Times New Roman"/>
          <w:sz w:val="24"/>
          <w:szCs w:val="24"/>
          <w:highlight w:val="white"/>
        </w:rPr>
      </w:r>
      <w:r>
        <w:rPr>
          <w:rFonts w:ascii="Times New Roman" w:hAnsi="Times New Roman"/>
          <w:sz w:val="24"/>
          <w:szCs w:val="24"/>
          <w:highlight w:val="white"/>
        </w:rPr>
      </w:r>
    </w:p>
    <w:p>
      <w:pPr>
        <w:ind w:firstLine="709"/>
        <w:jc w:val="both"/>
        <w:rPr>
          <w:highlight w:val="white"/>
        </w:rPr>
      </w:pPr>
      <w:r>
        <w:rPr>
          <w:highlight w:val="white"/>
        </w:rPr>
        <w:t xml:space="preserve">8.1.8. В случае не соблюдения/нарушения Подрядчиком своих обязательств по Договору </w:t>
      </w:r>
      <w:r>
        <w:rPr>
          <w:sz w:val="24"/>
          <w:szCs w:val="24"/>
          <w:highlight w:val="white"/>
        </w:rPr>
        <w:t xml:space="preserve">в части соблюдения требований законодательства об отходах</w:t>
      </w:r>
      <w:r>
        <w:rPr>
          <w:highlight w:val="white"/>
        </w:rPr>
        <w:t xml:space="preserve">, Заказчик вправе требовать с Подрядчика штраф </w:t>
      </w:r>
      <w:r>
        <w:rPr>
          <w:highlight w:val="white"/>
        </w:rPr>
        <w:t xml:space="preserve">в размере:</w:t>
      </w:r>
      <w:r>
        <w:rPr>
          <w:highlight w:val="white"/>
        </w:rPr>
      </w:r>
      <w:r>
        <w:rPr>
          <w:highlight w:val="white"/>
        </w:rPr>
      </w:r>
    </w:p>
    <w:p>
      <w:pPr>
        <w:ind w:firstLine="709"/>
        <w:jc w:val="both"/>
      </w:pPr>
      <w:r>
        <w:rPr>
          <w:highlight w:val="white"/>
        </w:rPr>
        <w:t xml:space="preserve">- 500 000 (пятьсот тысяч) рублей с уст</w:t>
      </w:r>
      <w:r>
        <w:t xml:space="preserve">ановлением</w:t>
      </w:r>
      <w:r>
        <w:t xml:space="preserve"> срока устранения нарушений не более </w:t>
      </w:r>
      <w:r>
        <w:t xml:space="preserve">семи  календарных</w:t>
      </w:r>
      <w:r>
        <w:t xml:space="preserve"> дней с момента направления требования об устранении нарушений Подрядчику;</w:t>
      </w:r>
      <w:r/>
    </w:p>
    <w:p>
      <w:pPr>
        <w:ind w:firstLine="709"/>
        <w:jc w:val="both"/>
      </w:pPr>
      <w:r>
        <w:t xml:space="preserve">- при повторном нарушении - 1 000 000 (один миллион) рублей с установлением срока устранения нарушений не более семи календарны</w:t>
      </w:r>
      <w:r>
        <w:t xml:space="preserve">х дней с момента направления требования об устранении нарушений Подрядчику;</w:t>
      </w:r>
      <w:r/>
    </w:p>
    <w:p>
      <w:pPr>
        <w:ind w:firstLine="709"/>
        <w:jc w:val="both"/>
        <w:rPr>
          <w:color w:val="000000"/>
        </w:rPr>
      </w:pPr>
      <w:r>
        <w:t xml:space="preserve">- при нарушении в третий раз - Заказчик вправе расторгнуть Договор в одностороннем внесудебном порядке</w:t>
      </w:r>
      <w:r>
        <w:rPr>
          <w:color w:val="000000"/>
        </w:rPr>
        <w:t xml:space="preserve">.</w:t>
      </w:r>
      <w:r>
        <w:rPr>
          <w:color w:val="000000"/>
        </w:rPr>
      </w:r>
      <w:r>
        <w:rPr>
          <w:color w:val="000000"/>
        </w:rPr>
      </w:r>
    </w:p>
    <w:p>
      <w:pPr>
        <w:numPr>
          <w:ilvl w:val="1"/>
          <w:numId w:val="9"/>
        </w:numPr>
        <w:ind w:left="0" w:firstLine="720"/>
        <w:jc w:val="both"/>
        <w:rPr>
          <w:highlight w:val="white"/>
        </w:rPr>
      </w:pPr>
      <w:r>
        <w:t xml:space="preserve">В том случае, если Подрядчик в согласованные Сторонами сроки</w:t>
      </w:r>
      <w:r>
        <w:t xml:space="preserve"> не устранил допущенные им недостатки, Заказчик вправе устранить их своими или привлеченными силами за счет Подрядчика, либо за свой счет с возложением на Подрядчика всех понесенных расходов, и, кроме того, вправе требовать с последнего штраф в размере 30%</w:t>
      </w:r>
      <w:r>
        <w:t xml:space="preserve"> (тридцати </w:t>
      </w:r>
      <w:r>
        <w:rPr>
          <w:highlight w:val="white"/>
        </w:rPr>
        <w:t xml:space="preserve">процентов) стоимости Работ по устранению недостатков.</w:t>
      </w:r>
      <w:r>
        <w:rPr>
          <w:highlight w:val="white"/>
        </w:rPr>
      </w:r>
      <w:r>
        <w:rPr>
          <w:highlight w:val="white"/>
        </w:rPr>
      </w:r>
    </w:p>
    <w:p>
      <w:pPr>
        <w:numPr>
          <w:ilvl w:val="1"/>
          <w:numId w:val="9"/>
        </w:numPr>
        <w:ind w:left="0" w:firstLine="709"/>
        <w:jc w:val="both"/>
        <w:tabs>
          <w:tab w:val="left" w:pos="1276" w:leader="none"/>
        </w:tabs>
        <w:rPr>
          <w:highlight w:val="white"/>
        </w:rPr>
      </w:pPr>
      <w:r>
        <w:rPr>
          <w:highlight w:val="white"/>
        </w:rPr>
        <w:t xml:space="preserve"> </w:t>
      </w:r>
      <w:r>
        <w:rPr>
          <w:color w:val="000000"/>
          <w:highlight w:val="white"/>
        </w:rPr>
        <w:t xml:space="preserve">П</w:t>
      </w:r>
      <w:r>
        <w:rPr>
          <w:color w:val="000000"/>
          <w:highlight w:val="white"/>
        </w:rPr>
        <w:t xml:space="preserve">одрядчик несёт ответственност</w:t>
      </w:r>
      <w:r>
        <w:rPr>
          <w:color w:val="000000"/>
          <w:highlight w:val="white"/>
        </w:rPr>
        <w:t xml:space="preserve">ь за нарушение порядка (несвоевременного) предоставления комплекта документов необходимых для открытия (продления, переоформления, закрытия) ордера на производство работ в размере 50 000 руб. (пятьдесят тысяч рублей 00 копеек) за каждый выявленный случай.</w:t>
      </w:r>
      <w:r>
        <w:rPr>
          <w:color w:val="000000"/>
          <w:highlight w:val="white"/>
        </w:rPr>
        <w:t xml:space="preserve"> </w:t>
      </w:r>
      <w:r>
        <w:rPr>
          <w:highlight w:val="white"/>
        </w:rPr>
      </w:r>
      <w:r>
        <w:rPr>
          <w:highlight w:val="white"/>
        </w:rPr>
      </w:r>
    </w:p>
    <w:p>
      <w:pPr>
        <w:numPr>
          <w:ilvl w:val="1"/>
          <w:numId w:val="9"/>
        </w:numPr>
        <w:ind w:left="0" w:firstLine="720"/>
        <w:jc w:val="both"/>
      </w:pPr>
      <w:r>
        <w:t xml:space="preserve">За нарушение Заказчиком срока исполнения обязательств по оплате по Договору Подрядчик имеет право начислить Заказчику проценты за по</w:t>
      </w:r>
      <w:r>
        <w:t xml:space="preserve">льзование чужими денежными средствами в размере  ключевой ставки (п. 1 ст. 395 ГК РФ), установленной Банком России на день просрочки исполнения обязательства, общий срок начисления которых не может превышать 3-х (трех) месяцев со дня нарушения Заказчиком  </w:t>
      </w:r>
      <w:r>
        <w:t xml:space="preserve">условий Договора </w:t>
      </w:r>
      <w:r>
        <w:br/>
        <w:t xml:space="preserve">(п. 3 ст. 395 ГК РФ).</w:t>
      </w:r>
      <w:r/>
    </w:p>
    <w:p>
      <w:pPr>
        <w:numPr>
          <w:ilvl w:val="1"/>
          <w:numId w:val="9"/>
        </w:numPr>
        <w:ind w:left="0" w:firstLine="720"/>
        <w:jc w:val="both"/>
      </w:pPr>
      <w:r>
        <w:t xml:space="preserve">Убытки, понесенные Заказчиком, подлежат возмещению Подрядчиком в полной сумме, сверх штрафных санкций, которые могут быть предъявлены за нарушение обязательств по Договору.</w:t>
      </w:r>
      <w:r/>
    </w:p>
    <w:p>
      <w:pPr>
        <w:numPr>
          <w:ilvl w:val="1"/>
          <w:numId w:val="9"/>
        </w:numPr>
        <w:ind w:left="0" w:firstLine="720"/>
        <w:jc w:val="both"/>
      </w:pPr>
      <w:r>
        <w:t xml:space="preserve"> В случаях, когда объект по завершению рабо</w:t>
      </w:r>
      <w:r>
        <w:t xml:space="preserve">т не может быть принят </w:t>
      </w:r>
      <w:r>
        <w:br/>
        <w:t xml:space="preserve">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Заказчик вправе требовать, а Подрядчик в</w:t>
      </w:r>
      <w:r>
        <w:t xml:space="preserve"> случае предъявления требования обязан уплатить пени в размере 0,001% (ноля целых одной тысячной процента) от цены Договора за каждый день просрочки сверх установленной даты ввода объекта в эксплуатацию.</w:t>
      </w:r>
      <w:r/>
    </w:p>
    <w:p>
      <w:pPr>
        <w:numPr>
          <w:ilvl w:val="1"/>
          <w:numId w:val="9"/>
        </w:numPr>
        <w:ind w:left="0" w:firstLine="720"/>
        <w:jc w:val="both"/>
      </w:pPr>
      <w:r>
        <w:t xml:space="preserve"> В случае, если Заказчик не выполнит в срок свои обя</w:t>
      </w:r>
      <w:r>
        <w:t xml:space="preserve">зательства, предусмотренные Договором, и это приведет к задержке выполнения работ  (в том числе по этапу), Подрядчик имеет право на продление срока работ на соответствующий период и на освобождение </w:t>
      </w:r>
      <w:r>
        <w:br/>
        <w:t xml:space="preserve">на этот период от уплаты пени за просрочку сдачи объекта </w:t>
      </w:r>
      <w:r>
        <w:t xml:space="preserve">в эксплуатацию при условии письменного уведомления Заказчика. В этом случае Стороны должны принять </w:t>
      </w:r>
      <w:r>
        <w:br/>
        <w:t xml:space="preserve">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w:t>
      </w:r>
      <w:r>
        <w:t xml:space="preserve">ыполнением обязательств Заказчиком, то он немедленно обязан заказным письмом </w:t>
      </w:r>
      <w:r>
        <w:br/>
        <w:t xml:space="preserve">с уведомлением о вручении сообщить Заказчику размер этих расходов с подтверждением их документами.</w:t>
      </w:r>
      <w:r/>
    </w:p>
    <w:p>
      <w:pPr>
        <w:numPr>
          <w:ilvl w:val="1"/>
          <w:numId w:val="9"/>
        </w:numPr>
        <w:ind w:left="0" w:firstLine="720"/>
        <w:jc w:val="both"/>
      </w:pPr>
      <w:r>
        <w:t xml:space="preserve"> Срок уплаты санкций за неисполнение обязательств по Договору составляет </w:t>
      </w:r>
      <w:r>
        <w:br/>
        <w:t xml:space="preserve">30 (т</w:t>
      </w:r>
      <w:r>
        <w:t xml:space="preserve">ридцать) календарных дней со дня получения претензии. Уплата санкций по Договору не освобождает Стороны от исполнения своих обязательств по Договору.</w:t>
      </w:r>
      <w:r/>
    </w:p>
    <w:p>
      <w:pPr>
        <w:numPr>
          <w:ilvl w:val="1"/>
          <w:numId w:val="9"/>
        </w:numPr>
        <w:ind w:left="0" w:firstLine="709"/>
        <w:jc w:val="both"/>
        <w:tabs>
          <w:tab w:val="num" w:pos="0" w:leader="none"/>
          <w:tab w:val="clear" w:pos="1080" w:leader="none"/>
        </w:tabs>
      </w:pPr>
      <w:r>
        <w:t xml:space="preserve">За нарушения обязательств, по соблюдению требований охраны труда Подрядчик несет ответственность в соответ</w:t>
      </w:r>
      <w:r>
        <w:t xml:space="preserve">ствии с действующим законодательством РФ, </w:t>
      </w:r>
      <w:r>
        <w:br/>
        <w:t xml:space="preserve">а также обязуется уплатить штраф в размере 100 000 (ста тысяч) рублей за каждое допущенное нарушение.</w:t>
      </w:r>
      <w:r/>
    </w:p>
    <w:p>
      <w:pPr>
        <w:numPr>
          <w:ilvl w:val="1"/>
          <w:numId w:val="9"/>
        </w:numPr>
        <w:ind w:left="0" w:firstLine="709"/>
        <w:jc w:val="both"/>
        <w:tabs>
          <w:tab w:val="num" w:pos="0" w:leader="none"/>
          <w:tab w:val="clear" w:pos="1080" w:leader="none"/>
        </w:tabs>
      </w:pPr>
      <w:r>
        <w:t xml:space="preserve">В случае если нарушение Подрядчиком обязательств установленных требований охраны труда привело к материальному </w:t>
      </w:r>
      <w:r>
        <w:t xml:space="preserve">ущербу/убытку Заказчика, Подрядчик обязуется возместить соответственно потраченные Заказчиком денежные средства.</w:t>
      </w:r>
      <w:r/>
    </w:p>
    <w:p>
      <w:pPr>
        <w:numPr>
          <w:ilvl w:val="1"/>
          <w:numId w:val="9"/>
        </w:numPr>
        <w:ind w:left="0" w:firstLine="720"/>
        <w:jc w:val="both"/>
        <w:shd w:val="clear" w:color="auto" w:fill="ffffff"/>
        <w:widowControl w:val="off"/>
        <w:tabs>
          <w:tab w:val="num" w:pos="0" w:leader="none"/>
          <w:tab w:val="clear" w:pos="1080" w:leader="none"/>
        </w:tabs>
        <w:rPr>
          <w:color w:val="ff0000"/>
        </w:rPr>
      </w:pPr>
      <w:r>
        <w:t xml:space="preserve">При несчастном случае, происшедшим с работником Подрядчика </w:t>
      </w:r>
      <w:r>
        <w:br/>
        <w:t xml:space="preserve">при выполнении работ по Договору, по вине Подрядчика. Подрядчик обязуется уплатить </w:t>
      </w:r>
      <w:r>
        <w:t xml:space="preserve">Заказчику единовременный штраф в размере 2% (двух процентов) от цены Договора, </w:t>
      </w:r>
      <w:r>
        <w:br/>
        <w:t xml:space="preserve">а в случае несчастного случая со смертельным исходом или группового несчастного случая с тяжелым исходом - 4% (четырех процентов) от цены Договора, но не менее 500 000 (пятисот</w:t>
      </w:r>
      <w:r>
        <w:t xml:space="preserve"> тысяч) рублей. Вина персонала Подрядчика устанавливается комиссией </w:t>
      </w:r>
      <w:r>
        <w:br/>
        <w:t xml:space="preserve">по расследованию несчастного случая с участием представителей Заказчика Состав комиссии, порядок ее работы и результаты расследования определяются и оформляются </w:t>
      </w:r>
      <w:r>
        <w:br/>
        <w:t xml:space="preserve">в соответствии с требован</w:t>
      </w:r>
      <w:r>
        <w:t xml:space="preserve">иями ст. 229, 230 ТК РФ и Приказа Минтруда России от 20.04.2022 №-223н «Об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w:t>
      </w:r>
      <w:r>
        <w:t xml:space="preserve">имых для расследования несчастных случаев на производстве».</w:t>
      </w:r>
      <w:r>
        <w:rPr>
          <w:color w:val="ff0000"/>
        </w:rPr>
      </w:r>
      <w:r>
        <w:rPr>
          <w:color w:val="ff0000"/>
        </w:rPr>
      </w:r>
    </w:p>
    <w:p>
      <w:pPr>
        <w:pStyle w:val="1798"/>
        <w:numPr>
          <w:ilvl w:val="1"/>
          <w:numId w:val="9"/>
        </w:numPr>
        <w:ind w:left="0" w:firstLine="720"/>
        <w:jc w:val="both"/>
        <w:tabs>
          <w:tab w:val="clear" w:pos="1080" w:leader="none"/>
          <w:tab w:val="num" w:pos="1418" w:leader="none"/>
        </w:tabs>
        <w:rPr>
          <w:rFonts w:ascii="Times New Roman" w:hAnsi="Times New Roman"/>
          <w:sz w:val="24"/>
          <w:szCs w:val="24"/>
        </w:rPr>
      </w:pPr>
      <w:r>
        <w:rPr>
          <w:rFonts w:ascii="Times New Roman" w:hAnsi="Times New Roman"/>
          <w:sz w:val="24"/>
          <w:szCs w:val="24"/>
        </w:rPr>
        <w:t xml:space="preserve">Указанные в настоящем разделе штрафы, пени, убытки, включая упущенную выгоду, проценты за пользование чужими денежными средствами, нео</w:t>
      </w:r>
      <w:r>
        <w:rPr>
          <w:rFonts w:ascii="Times New Roman" w:hAnsi="Times New Roman"/>
          <w:sz w:val="24"/>
          <w:szCs w:val="24"/>
        </w:rPr>
        <w:t xml:space="preserve">сновательное обогащение, судебные издержки и расходы могут быть удержаны и обращены в свою собственность Заказчиком в безусловном бесспорном внесудебном порядке из денежных средств, причитающихся Подрядчику за выполненные и принятые Заказчиком по Договору </w:t>
      </w:r>
      <w:r>
        <w:rPr>
          <w:rFonts w:ascii="Times New Roman" w:hAnsi="Times New Roman"/>
          <w:sz w:val="24"/>
          <w:szCs w:val="24"/>
        </w:rPr>
        <w:t xml:space="preserve">работы </w:t>
      </w:r>
      <w:r>
        <w:rPr>
          <w:rFonts w:ascii="Times New Roman" w:hAnsi="Times New Roman"/>
          <w:i/>
          <w:sz w:val="24"/>
          <w:szCs w:val="24"/>
        </w:rPr>
        <w:t xml:space="preserve">либо из Суммы обеспечения исполнения обязательств, указанной в разделе Договора «Обеспечение обязательств Подрядчика», или получены Заказчиком от лица, обеспечившего независимой гарантией исполнение Подрядчиком своих обязательств по Договору .</w:t>
      </w:r>
      <w:r>
        <w:rPr>
          <w:rStyle w:val="1763"/>
          <w:rFonts w:ascii="Times New Roman" w:hAnsi="Times New Roman"/>
          <w:sz w:val="24"/>
          <w:szCs w:val="24"/>
        </w:rPr>
        <w:footnoteReference w:id="29"/>
      </w:r>
      <w:r>
        <w:rPr>
          <w:rFonts w:ascii="Times New Roman" w:hAnsi="Times New Roman"/>
          <w:sz w:val="24"/>
          <w:szCs w:val="24"/>
        </w:rPr>
      </w:r>
      <w:r>
        <w:rPr>
          <w:rFonts w:ascii="Times New Roman" w:hAnsi="Times New Roman"/>
          <w:sz w:val="24"/>
          <w:szCs w:val="24"/>
        </w:rPr>
      </w:r>
    </w:p>
    <w:p>
      <w:pPr>
        <w:pStyle w:val="1798"/>
        <w:ind w:firstLine="720"/>
        <w:jc w:val="both"/>
        <w:rPr>
          <w:rFonts w:ascii="Times New Roman" w:hAnsi="Times New Roman"/>
          <w:sz w:val="24"/>
          <w:szCs w:val="24"/>
        </w:rPr>
      </w:pPr>
      <w:r>
        <w:rPr>
          <w:rFonts w:ascii="Times New Roman" w:hAnsi="Times New Roman" w:eastAsia="Calibri"/>
          <w:sz w:val="24"/>
          <w:szCs w:val="22"/>
          <w:lang w:eastAsia="en-US"/>
        </w:rPr>
        <w:t xml:space="preserve">В сл</w:t>
      </w:r>
      <w:r>
        <w:rPr>
          <w:rFonts w:ascii="Times New Roman" w:hAnsi="Times New Roman" w:eastAsia="Calibri"/>
          <w:sz w:val="24"/>
          <w:szCs w:val="22"/>
          <w:lang w:eastAsia="en-US"/>
        </w:rPr>
        <w:t xml:space="preserve">учае удержания денежных средств Заказчик направляет соответствующее Уведомление Подрядчику, в котором указываются:</w:t>
      </w: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p>
      <w:pPr>
        <w:pStyle w:val="1798"/>
        <w:ind w:firstLine="720"/>
        <w:jc w:val="both"/>
        <w:rPr>
          <w:rFonts w:ascii="Times New Roman" w:hAnsi="Times New Roman"/>
          <w:sz w:val="24"/>
          <w:szCs w:val="24"/>
        </w:rPr>
      </w:pPr>
      <w:r>
        <w:rPr>
          <w:rFonts w:ascii="Times New Roman" w:hAnsi="Times New Roman"/>
          <w:sz w:val="24"/>
          <w:szCs w:val="24"/>
        </w:rPr>
        <w:t xml:space="preserve">- сведения о нарушенном Подрядчиком обязательстве, период просрочки;</w:t>
      </w:r>
      <w:r>
        <w:rPr>
          <w:rFonts w:ascii="Times New Roman" w:hAnsi="Times New Roman"/>
          <w:sz w:val="24"/>
          <w:szCs w:val="24"/>
        </w:rPr>
      </w:r>
      <w:r>
        <w:rPr>
          <w:rFonts w:ascii="Times New Roman" w:hAnsi="Times New Roman"/>
          <w:sz w:val="24"/>
          <w:szCs w:val="24"/>
        </w:rPr>
      </w:r>
    </w:p>
    <w:p>
      <w:pPr>
        <w:pStyle w:val="1798"/>
        <w:ind w:firstLine="720"/>
        <w:jc w:val="both"/>
        <w:rPr>
          <w:rFonts w:ascii="Times New Roman" w:hAnsi="Times New Roman"/>
          <w:sz w:val="24"/>
          <w:szCs w:val="24"/>
        </w:rPr>
      </w:pPr>
      <w:r>
        <w:rPr>
          <w:rFonts w:ascii="Times New Roman" w:hAnsi="Times New Roman"/>
          <w:sz w:val="24"/>
          <w:szCs w:val="24"/>
        </w:rPr>
        <w:t xml:space="preserve">- сведения о размере санкций, предусмотренном условиями Договора, расче</w:t>
      </w:r>
      <w:r>
        <w:rPr>
          <w:rFonts w:ascii="Times New Roman" w:hAnsi="Times New Roman"/>
          <w:sz w:val="24"/>
          <w:szCs w:val="24"/>
        </w:rPr>
        <w:t xml:space="preserve">т и общий размер санкций за допущенное Подрядчиком нарушение; </w:t>
      </w:r>
      <w:r>
        <w:rPr>
          <w:rFonts w:ascii="Times New Roman" w:hAnsi="Times New Roman"/>
          <w:sz w:val="24"/>
          <w:szCs w:val="24"/>
        </w:rPr>
      </w:r>
      <w:r>
        <w:rPr>
          <w:rFonts w:ascii="Times New Roman" w:hAnsi="Times New Roman"/>
          <w:sz w:val="24"/>
          <w:szCs w:val="24"/>
        </w:rPr>
      </w:r>
    </w:p>
    <w:p>
      <w:pPr>
        <w:pStyle w:val="1798"/>
        <w:ind w:firstLine="720"/>
        <w:jc w:val="both"/>
        <w:rPr>
          <w:rFonts w:ascii="Times New Roman" w:hAnsi="Times New Roman"/>
          <w:sz w:val="24"/>
          <w:szCs w:val="24"/>
        </w:rPr>
      </w:pPr>
      <w:r>
        <w:rPr>
          <w:rFonts w:ascii="Times New Roman" w:hAnsi="Times New Roman"/>
          <w:sz w:val="24"/>
          <w:szCs w:val="24"/>
        </w:rPr>
        <w:t xml:space="preserve">- реквизиты соответствующих первичных учетных документов (актов, товарных накладных и пр.), если удержание производится из денежных средств, причитающихся Подрядчику за выполненные и принятые З</w:t>
      </w:r>
      <w:r>
        <w:rPr>
          <w:rFonts w:ascii="Times New Roman" w:hAnsi="Times New Roman"/>
          <w:sz w:val="24"/>
          <w:szCs w:val="24"/>
        </w:rPr>
        <w:t xml:space="preserve">аказчиком по Договору Работы;</w:t>
      </w:r>
      <w:r>
        <w:rPr>
          <w:rFonts w:ascii="Times New Roman" w:hAnsi="Times New Roman"/>
          <w:sz w:val="24"/>
          <w:szCs w:val="24"/>
        </w:rPr>
      </w:r>
      <w:r>
        <w:rPr>
          <w:rFonts w:ascii="Times New Roman" w:hAnsi="Times New Roman"/>
          <w:sz w:val="24"/>
          <w:szCs w:val="24"/>
        </w:rPr>
      </w:r>
    </w:p>
    <w:p>
      <w:pPr>
        <w:pStyle w:val="1798"/>
        <w:ind w:firstLine="720"/>
        <w:jc w:val="both"/>
        <w:rPr>
          <w:rFonts w:ascii="Times New Roman" w:hAnsi="Times New Roman"/>
          <w:sz w:val="24"/>
          <w:szCs w:val="24"/>
        </w:rPr>
      </w:pPr>
      <w:r>
        <w:rPr>
          <w:rFonts w:ascii="Times New Roman" w:hAnsi="Times New Roman"/>
          <w:sz w:val="24"/>
          <w:szCs w:val="24"/>
        </w:rPr>
        <w:t xml:space="preserve">- иные сведения.</w:t>
      </w:r>
      <w:r>
        <w:rPr>
          <w:rFonts w:ascii="Times New Roman" w:hAnsi="Times New Roman"/>
          <w:sz w:val="24"/>
          <w:szCs w:val="24"/>
        </w:rPr>
      </w:r>
      <w:r>
        <w:rPr>
          <w:rFonts w:ascii="Times New Roman" w:hAnsi="Times New Roman"/>
          <w:sz w:val="24"/>
          <w:szCs w:val="24"/>
        </w:rPr>
      </w:r>
    </w:p>
    <w:p>
      <w:pPr>
        <w:numPr>
          <w:ilvl w:val="1"/>
          <w:numId w:val="9"/>
        </w:numPr>
        <w:ind w:left="0" w:firstLine="720"/>
        <w:jc w:val="both"/>
        <w:tabs>
          <w:tab w:val="clear" w:pos="1080" w:leader="none"/>
        </w:tabs>
      </w:pPr>
      <w:r>
        <w:t xml:space="preserve">В соответствии со ст. 406.1. Гражданского Кодекса Российской Федерации Подрядчик за свой счет в полном объеме возмещает Заказчику потери, возникшие у последнего в связи с проведением Подрядчиком и привлекаемым</w:t>
      </w:r>
      <w:r>
        <w:t xml:space="preserve">и им лицами работ на Объекте, в том числе в случае нарушения норм законодательства РФ, технических регламентов, строительных норм и правил, государственных стандартов и иных регламентирующих документов, действующих в области проектирования и строительства,</w:t>
      </w:r>
      <w:r>
        <w:t xml:space="preserve"> включая, но не ограничиваясь, нормы и правила в области противопожарной безопасности, охраны окружающей среды, промышленной, экологической и санитарной безопасности, градостроительные нормы и правила, правила благоустройства и организации производства зем</w:t>
      </w:r>
      <w:r>
        <w:t xml:space="preserve">ляных и строительных работ (ГАТИ Правительства Санкт-Петербурга и иные органы государственной власти в случае изменения нормативно-правовых актов), правила </w:t>
      </w:r>
      <w:r>
        <w:t xml:space="preserve">лесовосстановления</w:t>
      </w:r>
      <w:r>
        <w:t xml:space="preserve"> и лесоразведения. </w:t>
      </w:r>
      <w:r/>
    </w:p>
    <w:p>
      <w:pPr>
        <w:ind w:firstLine="709"/>
        <w:jc w:val="both"/>
      </w:pPr>
      <w:r>
        <w:t xml:space="preserve">К потерям Заказчика, подлежащим возмещению, в равной степени относятся административные штрафы, размер которых определяется вступившим в законную силу постановлением о наложении соответствующего штрафа, а также меры гражданско-правовой ответственности, при</w:t>
      </w:r>
      <w:r>
        <w:t xml:space="preserve">меняемые третьими лицами к Заказчику, размер которых выражается в оплаченной Заказчиком претензии либо решении суда, вступившем в законную силу и исполненном Заказчиком.</w:t>
      </w:r>
      <w:r/>
    </w:p>
    <w:p>
      <w:pPr>
        <w:ind w:firstLine="720"/>
        <w:jc w:val="both"/>
        <w:shd w:val="clear" w:color="auto" w:fill="ffffff"/>
        <w:widowControl w:val="off"/>
      </w:pPr>
      <w:r>
        <w:t xml:space="preserve">8.14. </w:t>
      </w:r>
      <w:r>
        <w:rPr>
          <w:rStyle w:val="1763"/>
        </w:rPr>
        <w:footnoteReference w:id="30"/>
      </w:r>
      <w:r>
        <w:t xml:space="preserve">В случае нарушения сроков предоставления Подрядчиком обеспечительных мер по Дог</w:t>
      </w:r>
      <w:r>
        <w:t xml:space="preserve">овору, Подрядчик уплачивает Заказчику пени в размере 0,1% (ноля целых одной десятой) от цены Договора за каждый день просрочки до полного фактического исполнения обязательства по предоставлению обеспечительных мер по Договору. Заказчик вправе удержать данн</w:t>
      </w:r>
      <w:r>
        <w:t xml:space="preserve">ые штрафные санкции из денежных средств, подлежащих оплате Подрядчику по Договору.</w:t>
      </w:r>
      <w:r/>
    </w:p>
    <w:p>
      <w:pPr>
        <w:pStyle w:val="1798"/>
        <w:ind w:firstLine="720"/>
        <w:jc w:val="both"/>
        <w:rPr>
          <w:rFonts w:ascii="Times New Roman" w:hAnsi="Times New Roman"/>
          <w:sz w:val="24"/>
          <w:szCs w:val="24"/>
        </w:rPr>
      </w:pPr>
      <w:r>
        <w:rPr>
          <w:rFonts w:ascii="Times New Roman" w:hAnsi="Times New Roman"/>
          <w:sz w:val="24"/>
          <w:szCs w:val="24"/>
        </w:rPr>
        <w:t xml:space="preserve">8.15. </w:t>
      </w:r>
      <w:r>
        <w:rPr>
          <w:rFonts w:ascii="Times New Roman" w:hAnsi="Times New Roman"/>
          <w:sz w:val="24"/>
          <w:szCs w:val="24"/>
          <w:highlight w:val="yellow"/>
        </w:rPr>
        <w:t xml:space="preserve">Если Подрядчик нарушит гарантии (любую одну, несколько или все вместе), указанные в п. 5.42. Договора, и это повлечет предъявление налоговыми органами требований к Заказчику об уплате налогов, сборов, страхо</w:t>
      </w:r>
      <w:r>
        <w:rPr>
          <w:rFonts w:ascii="Times New Roman" w:hAnsi="Times New Roman"/>
          <w:sz w:val="24"/>
          <w:szCs w:val="24"/>
          <w:highlight w:val="yellow"/>
        </w:rPr>
        <w:t xml:space="preserve">вых взносов, штрафов, пеней, отказ в возможности признать расходы для целей налогообложения прибыли или включить НДС в </w:t>
      </w:r>
      <w:r>
        <w:rPr>
          <w:rFonts w:ascii="Times New Roman" w:hAnsi="Times New Roman"/>
          <w:sz w:val="24"/>
          <w:szCs w:val="24"/>
          <w:highlight w:val="yellow"/>
        </w:rPr>
        <w:t xml:space="preserve">состав налоговых вычетов, и/или повлечет </w:t>
      </w:r>
      <w:r>
        <w:rPr>
          <w:rFonts w:ascii="Times New Roman" w:hAnsi="Times New Roman"/>
          <w:sz w:val="24"/>
          <w:szCs w:val="24"/>
          <w:highlight w:val="yellow"/>
        </w:rPr>
        <w:t xml:space="preserve">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w:t>
      </w:r>
      <w:r>
        <w:rPr>
          <w:rFonts w:ascii="Times New Roman" w:hAnsi="Times New Roman"/>
          <w:sz w:val="24"/>
          <w:szCs w:val="24"/>
          <w:highlight w:val="yellow"/>
        </w:rPr>
        <w:t xml:space="preserve">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Подрядчик обязуется возместить </w:t>
      </w:r>
      <w:r>
        <w:rPr>
          <w:rFonts w:ascii="Times New Roman" w:hAnsi="Times New Roman"/>
          <w:sz w:val="24"/>
          <w:szCs w:val="24"/>
          <w:highlight w:val="yellow"/>
        </w:rPr>
        <w:t xml:space="preserve">Заказчику убытки, который последний понес вследствие таких нарушений.</w:t>
      </w:r>
      <w:r>
        <w:rPr>
          <w:rFonts w:ascii="Times New Roman" w:hAnsi="Times New Roman"/>
          <w:sz w:val="24"/>
          <w:szCs w:val="24"/>
        </w:rPr>
      </w:r>
      <w:r>
        <w:rPr>
          <w:rFonts w:ascii="Times New Roman" w:hAnsi="Times New Roman"/>
          <w:sz w:val="24"/>
          <w:szCs w:val="24"/>
        </w:rPr>
      </w:r>
    </w:p>
    <w:p>
      <w:pPr>
        <w:pStyle w:val="1798"/>
        <w:ind w:firstLine="720"/>
        <w:jc w:val="both"/>
        <w:rPr>
          <w:rFonts w:ascii="Times New Roman" w:hAnsi="Times New Roman"/>
          <w:sz w:val="24"/>
          <w:szCs w:val="24"/>
        </w:rPr>
      </w:pPr>
      <w:r>
        <w:rPr>
          <w:rFonts w:ascii="Times New Roman" w:hAnsi="Times New Roman"/>
          <w:sz w:val="24"/>
          <w:szCs w:val="24"/>
        </w:rPr>
        <w:t xml:space="preserve">8.16. 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8.15 Договора. При этом факт оспаривания или </w:t>
      </w:r>
      <w:r>
        <w:rPr>
          <w:rFonts w:ascii="Times New Roman" w:hAnsi="Times New Roman"/>
          <w:sz w:val="24"/>
          <w:szCs w:val="24"/>
        </w:rPr>
        <w:t xml:space="preserve">неоспаривани</w:t>
      </w:r>
      <w:r>
        <w:rPr>
          <w:rFonts w:ascii="Times New Roman" w:hAnsi="Times New Roman"/>
          <w:sz w:val="24"/>
          <w:szCs w:val="24"/>
        </w:rPr>
        <w:t xml:space="preserve">я</w:t>
      </w:r>
      <w:r>
        <w:rPr>
          <w:rFonts w:ascii="Times New Roman" w:hAnsi="Times New Roman"/>
          <w:sz w:val="24"/>
          <w:szCs w:val="24"/>
        </w:rPr>
        <w:t xml:space="preserve"> налоговых доначислений в налоговом органе, в том числе вышестоящем, или в суде, а также факт оспаривания или </w:t>
      </w:r>
      <w:r>
        <w:rPr>
          <w:rFonts w:ascii="Times New Roman" w:hAnsi="Times New Roman"/>
          <w:sz w:val="24"/>
          <w:szCs w:val="24"/>
        </w:rPr>
        <w:t xml:space="preserve">неоспаривания</w:t>
      </w:r>
      <w:r>
        <w:rPr>
          <w:rFonts w:ascii="Times New Roman" w:hAnsi="Times New Roman"/>
          <w:sz w:val="24"/>
          <w:szCs w:val="24"/>
        </w:rPr>
        <w:t xml:space="preserve"> в суде претензий третьих лиц не влияет на обязанность Подрядчика возместить имущественные потери.</w:t>
      </w:r>
      <w:r>
        <w:rPr>
          <w:rFonts w:ascii="Times New Roman" w:hAnsi="Times New Roman"/>
          <w:sz w:val="24"/>
          <w:szCs w:val="24"/>
        </w:rPr>
      </w:r>
      <w:r>
        <w:rPr>
          <w:rFonts w:ascii="Times New Roman" w:hAnsi="Times New Roman"/>
          <w:sz w:val="24"/>
          <w:szCs w:val="24"/>
        </w:rPr>
      </w:r>
    </w:p>
    <w:p>
      <w:pPr>
        <w:pStyle w:val="1761"/>
        <w:numPr>
          <w:ilvl w:val="1"/>
          <w:numId w:val="26"/>
        </w:numPr>
        <w:ind w:left="0" w:firstLine="709"/>
        <w:jc w:val="both"/>
        <w:spacing w:after="0" w:line="240" w:lineRule="auto"/>
        <w:shd w:val="clear" w:color="auto" w:fill="ffffff"/>
        <w:widowControl w:val="off"/>
        <w:rPr>
          <w:rFonts w:ascii="Times New Roman" w:hAnsi="Times New Roman"/>
          <w:bCs/>
          <w:iCs/>
          <w:sz w:val="24"/>
          <w:szCs w:val="24"/>
        </w:rPr>
      </w:pPr>
      <w:r>
        <w:rPr>
          <w:rFonts w:ascii="Times New Roman" w:hAnsi="Times New Roman"/>
          <w:sz w:val="24"/>
          <w:szCs w:val="24"/>
        </w:rPr>
        <w:t xml:space="preserve"> В случае непредставления Подрядч</w:t>
      </w:r>
      <w:r>
        <w:rPr>
          <w:rFonts w:ascii="Times New Roman" w:hAnsi="Times New Roman"/>
          <w:sz w:val="24"/>
          <w:szCs w:val="24"/>
        </w:rPr>
        <w:t xml:space="preserve">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(ноля целых одной десятой процента) от стоимости договора.</w:t>
      </w:r>
      <w:r>
        <w:rPr>
          <w:rFonts w:ascii="Times New Roman" w:hAnsi="Times New Roman"/>
          <w:bCs/>
          <w:iCs/>
          <w:sz w:val="24"/>
          <w:szCs w:val="24"/>
        </w:rPr>
      </w:r>
      <w:r>
        <w:rPr>
          <w:rFonts w:ascii="Times New Roman" w:hAnsi="Times New Roman"/>
          <w:bCs/>
          <w:iCs/>
          <w:sz w:val="24"/>
          <w:szCs w:val="24"/>
        </w:rPr>
      </w:r>
    </w:p>
    <w:p>
      <w:pPr>
        <w:pStyle w:val="1761"/>
        <w:numPr>
          <w:ilvl w:val="1"/>
          <w:numId w:val="26"/>
        </w:numPr>
        <w:ind w:left="0" w:firstLine="709"/>
        <w:jc w:val="both"/>
        <w:spacing w:after="0" w:line="240" w:lineRule="auto"/>
        <w:shd w:val="clear" w:color="auto" w:fill="ffffff"/>
        <w:widowControl w:val="off"/>
        <w:rPr>
          <w:rFonts w:ascii="Times New Roman" w:hAnsi="Times New Roman"/>
          <w:bCs/>
          <w:iCs/>
          <w:sz w:val="24"/>
          <w:szCs w:val="24"/>
          <w:highlight w:val="white"/>
        </w:rPr>
      </w:pPr>
      <w:r>
        <w:rPr>
          <w:rFonts w:ascii="Times New Roman" w:hAnsi="Times New Roman"/>
          <w:bCs/>
          <w:iCs/>
          <w:sz w:val="24"/>
          <w:szCs w:val="24"/>
          <w:highlight w:val="white"/>
        </w:rPr>
      </w:r>
      <w:r>
        <w:rPr>
          <w:rFonts w:ascii="Times New Roman" w:hAnsi="Times New Roman"/>
          <w:color w:val="000000"/>
          <w:sz w:val="24"/>
          <w:szCs w:val="24"/>
          <w:highlight w:val="white"/>
        </w:rPr>
        <w:t xml:space="preserve">В случае неисполнения или ненадлежащего исполнения Подрядчиком обязанности</w:t>
      </w:r>
      <w:r>
        <w:rPr>
          <w:rFonts w:ascii="Times New Roman" w:hAnsi="Times New Roman"/>
          <w:color w:val="000000"/>
          <w:sz w:val="24"/>
          <w:szCs w:val="24"/>
          <w:highlight w:val="white"/>
        </w:rPr>
        <w:t xml:space="preserve"> по обеспечению или </w:t>
      </w:r>
      <w:r>
        <w:rPr>
          <w:rFonts w:ascii="Times New Roman" w:hAnsi="Times New Roman"/>
          <w:color w:val="000000"/>
          <w:sz w:val="24"/>
          <w:szCs w:val="24"/>
          <w:highlight w:val="white"/>
        </w:rPr>
        <w:t xml:space="preserve">возобновлению видеотрансляции за ходом строительства объекта, в течение 5 (пяти) календарных дней после получения соответствующего требования Заказчика или иного разумного срока, установленного Заказчиком, Подрядчик обязан уплатить штраф в размере 100 000 </w:t>
      </w:r>
      <w:r>
        <w:rPr>
          <w:rFonts w:ascii="Times New Roman" w:hAnsi="Times New Roman"/>
          <w:color w:val="000000"/>
          <w:sz w:val="24"/>
          <w:szCs w:val="24"/>
          <w:highlight w:val="white"/>
        </w:rPr>
        <w:t xml:space="preserve">(ста тысяч) руб.</w:t>
      </w:r>
      <w:r>
        <w:rPr>
          <w:rFonts w:ascii="Times New Roman" w:hAnsi="Times New Roman"/>
          <w:bCs/>
          <w:iCs/>
          <w:sz w:val="24"/>
          <w:szCs w:val="24"/>
          <w:highlight w:val="white"/>
        </w:rPr>
      </w:r>
      <w:r>
        <w:rPr>
          <w:rFonts w:ascii="Times New Roman" w:hAnsi="Times New Roman"/>
          <w:bCs/>
          <w:iCs/>
          <w:sz w:val="24"/>
          <w:szCs w:val="24"/>
          <w:highlight w:val="white"/>
        </w:rPr>
      </w:r>
    </w:p>
    <w:p>
      <w:pPr>
        <w:pStyle w:val="1761"/>
        <w:numPr>
          <w:ilvl w:val="1"/>
          <w:numId w:val="26"/>
        </w:numPr>
        <w:contextualSpacing w:val="0"/>
        <w:ind w:left="0" w:firstLine="709"/>
        <w:jc w:val="both"/>
        <w:spacing w:after="0" w:line="240" w:lineRule="auto"/>
        <w:rPr>
          <w:rFonts w:ascii="Times New Roman" w:hAnsi="Times New Roman"/>
          <w:sz w:val="24"/>
          <w:szCs w:val="24"/>
        </w:rPr>
      </w:pPr>
      <w:r>
        <w:rPr>
          <w:rFonts w:ascii="Times New Roman" w:hAnsi="Times New Roman"/>
          <w:sz w:val="24"/>
          <w:szCs w:val="24"/>
        </w:rPr>
        <w:t xml:space="preserve">В случае нарушения Подрядчиком, Субподрядчиками и(или) любыми иными третьими лицами, привлеченными для работ по Договору нормативных актов в области</w:t>
      </w:r>
      <w:r>
        <w:rPr>
          <w:rFonts w:ascii="Times New Roman" w:hAnsi="Times New Roman"/>
          <w:sz w:val="24"/>
          <w:szCs w:val="24"/>
        </w:rPr>
        <w:t xml:space="preserve">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50 000 (пятидесяти тысяч)</w:t>
      </w:r>
      <w:r>
        <w:rPr>
          <w:rFonts w:ascii="Times New Roman" w:hAnsi="Times New Roman"/>
          <w:i/>
          <w:sz w:val="24"/>
          <w:szCs w:val="24"/>
        </w:rPr>
        <w:t xml:space="preserve"> </w:t>
      </w:r>
      <w:r>
        <w:rPr>
          <w:rFonts w:ascii="Times New Roman" w:hAnsi="Times New Roman"/>
          <w:sz w:val="24"/>
          <w:szCs w:val="24"/>
        </w:rPr>
        <w:t xml:space="preserve">рублей за каждый зафикси</w:t>
      </w:r>
      <w:r>
        <w:rPr>
          <w:rFonts w:ascii="Times New Roman" w:hAnsi="Times New Roman"/>
          <w:sz w:val="24"/>
          <w:szCs w:val="24"/>
        </w:rPr>
        <w:t xml:space="preserve">рованный случай нарушения.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r>
        <w:rPr>
          <w:rFonts w:ascii="Times New Roman" w:hAnsi="Times New Roman"/>
          <w:sz w:val="24"/>
          <w:szCs w:val="24"/>
        </w:rPr>
      </w:r>
      <w:r>
        <w:rPr>
          <w:rFonts w:ascii="Times New Roman" w:hAnsi="Times New Roman"/>
          <w:sz w:val="24"/>
          <w:szCs w:val="24"/>
        </w:rPr>
      </w:r>
    </w:p>
    <w:p>
      <w:pPr>
        <w:pStyle w:val="1761"/>
        <w:numPr>
          <w:ilvl w:val="1"/>
          <w:numId w:val="26"/>
        </w:numPr>
        <w:contextualSpacing w:val="0"/>
        <w:ind w:left="0" w:firstLine="709"/>
        <w:jc w:val="both"/>
        <w:spacing w:after="0" w:line="240" w:lineRule="auto"/>
        <w:shd w:val="clear" w:color="auto" w:fill="ffffff"/>
        <w:widowControl w:val="off"/>
        <w:tabs>
          <w:tab w:val="num" w:pos="0" w:leader="none"/>
          <w:tab w:val="left" w:pos="1276" w:leader="none"/>
        </w:tabs>
        <w:rPr>
          <w:rFonts w:ascii="Times New Roman" w:hAnsi="Times New Roman"/>
          <w:bCs/>
          <w:iCs/>
          <w:sz w:val="24"/>
          <w:szCs w:val="24"/>
        </w:rPr>
      </w:pPr>
      <w:r>
        <w:rPr>
          <w:rFonts w:ascii="Times New Roman" w:hAnsi="Times New Roman"/>
          <w:sz w:val="24"/>
          <w:szCs w:val="24"/>
        </w:rPr>
        <w:t xml:space="preserve">За непредставление, несвоевременное представление и/или представление ненадлежащим образом оформленных документов, отчетов и/или копий документов, в том числе заключения аттестационной комиссии ПАО «</w:t>
      </w:r>
      <w:r>
        <w:rPr>
          <w:rFonts w:ascii="Times New Roman" w:hAnsi="Times New Roman"/>
          <w:sz w:val="24"/>
          <w:szCs w:val="24"/>
        </w:rPr>
        <w:t xml:space="preserve">Россети</w:t>
      </w:r>
      <w:r>
        <w:rPr>
          <w:rFonts w:ascii="Times New Roman" w:hAnsi="Times New Roman"/>
          <w:sz w:val="24"/>
          <w:szCs w:val="24"/>
        </w:rPr>
        <w:t xml:space="preserve">» или протокола комиссии ПАО «</w:t>
      </w:r>
      <w:r>
        <w:rPr>
          <w:rFonts w:ascii="Times New Roman" w:hAnsi="Times New Roman"/>
          <w:sz w:val="24"/>
          <w:szCs w:val="24"/>
        </w:rPr>
        <w:t xml:space="preserve">Россети</w:t>
      </w:r>
      <w:r>
        <w:rPr>
          <w:rFonts w:ascii="Times New Roman" w:hAnsi="Times New Roman"/>
          <w:sz w:val="24"/>
          <w:szCs w:val="24"/>
        </w:rPr>
        <w:t xml:space="preserve"> Ленэнерго» п</w:t>
      </w:r>
      <w:r>
        <w:rPr>
          <w:rFonts w:ascii="Times New Roman" w:hAnsi="Times New Roman"/>
          <w:sz w:val="24"/>
          <w:szCs w:val="24"/>
        </w:rPr>
        <w:t xml:space="preserve">о допуску оборудования, материалов и систем с решением о допуске к применению неаттестованной проду</w:t>
      </w:r>
      <w:r>
        <w:rPr>
          <w:rFonts w:ascii="Times New Roman" w:hAnsi="Times New Roman"/>
          <w:sz w:val="24"/>
          <w:szCs w:val="24"/>
          <w:highlight w:val="white"/>
        </w:rPr>
        <w:t xml:space="preserve">кции, </w:t>
      </w:r>
      <w:r>
        <w:rPr>
          <w:rFonts w:ascii="Times New Roman" w:hAnsi="Times New Roman"/>
          <w:sz w:val="24"/>
          <w:szCs w:val="24"/>
          <w:highlight w:val="white"/>
          <w:lang w:eastAsia="ar-SA"/>
        </w:rPr>
        <w:t xml:space="preserve">акта входного контроля</w:t>
      </w:r>
      <w:r>
        <w:rPr>
          <w:rFonts w:ascii="Times New Roman" w:hAnsi="Times New Roman"/>
          <w:sz w:val="24"/>
          <w:szCs w:val="24"/>
          <w:highlight w:val="white"/>
          <w:lang w:eastAsia="ar-SA"/>
        </w:rPr>
        <w:t xml:space="preserve">,</w:t>
      </w:r>
      <w:r>
        <w:rPr>
          <w:rFonts w:ascii="Times New Roman" w:hAnsi="Times New Roman"/>
          <w:sz w:val="24"/>
          <w:szCs w:val="24"/>
          <w:highlight w:val="white"/>
        </w:rPr>
        <w:t xml:space="preserve"> </w:t>
      </w:r>
      <w:r>
        <w:rPr>
          <w:rFonts w:ascii="Times New Roman" w:hAnsi="Times New Roman"/>
          <w:sz w:val="24"/>
          <w:szCs w:val="24"/>
        </w:rPr>
        <w:t xml:space="preserve">предусмотренных Договором (в случае, если ответственность за нарушение обязательств по представлению данного вида документов и/</w:t>
      </w:r>
      <w:r>
        <w:rPr>
          <w:rFonts w:ascii="Times New Roman" w:hAnsi="Times New Roman"/>
          <w:sz w:val="24"/>
          <w:szCs w:val="24"/>
        </w:rPr>
        <w:t xml:space="preserve">или копий документов прямо не предусмотрена в иных пункта Договора) - штраф в размере 100 000 (ста тысяч рублей) рублей за каждый зафиксированный случай.</w:t>
      </w:r>
      <w:r>
        <w:rPr>
          <w:rFonts w:ascii="Times New Roman" w:hAnsi="Times New Roman"/>
          <w:bCs/>
          <w:iCs/>
          <w:sz w:val="24"/>
          <w:szCs w:val="24"/>
        </w:rPr>
      </w:r>
      <w:r>
        <w:rPr>
          <w:rFonts w:ascii="Times New Roman" w:hAnsi="Times New Roman"/>
          <w:bCs/>
          <w:iCs/>
          <w:sz w:val="24"/>
          <w:szCs w:val="24"/>
        </w:rPr>
      </w:r>
    </w:p>
    <w:p>
      <w:pPr>
        <w:pStyle w:val="1761"/>
        <w:numPr>
          <w:ilvl w:val="1"/>
          <w:numId w:val="26"/>
        </w:numPr>
        <w:contextualSpacing w:val="0"/>
        <w:ind w:left="0" w:firstLine="709"/>
        <w:jc w:val="both"/>
        <w:spacing w:after="0" w:line="240" w:lineRule="auto"/>
        <w:shd w:val="clear" w:color="auto" w:fill="ffffff"/>
        <w:widowControl w:val="off"/>
        <w:tabs>
          <w:tab w:val="num" w:pos="0" w:leader="none"/>
          <w:tab w:val="left" w:pos="1276" w:leader="none"/>
        </w:tabs>
        <w:rPr>
          <w:rFonts w:ascii="Times New Roman" w:hAnsi="Times New Roman"/>
          <w:bCs/>
          <w:iCs/>
          <w:sz w:val="24"/>
          <w:szCs w:val="24"/>
          <w:highlight w:val="white"/>
        </w:rPr>
      </w:pPr>
      <w:r>
        <w:rPr>
          <w:rFonts w:ascii="Times New Roman" w:hAnsi="Times New Roman"/>
          <w:sz w:val="24"/>
          <w:szCs w:val="24"/>
        </w:rPr>
        <w:t xml:space="preserve">В случае неисполнения Подрядчиком требований, установленных в п. 17.3. Договора, Подрядчик уплачивает </w:t>
      </w:r>
      <w:r>
        <w:rPr>
          <w:rFonts w:ascii="Times New Roman" w:hAnsi="Times New Roman"/>
          <w:sz w:val="24"/>
          <w:szCs w:val="24"/>
        </w:rPr>
        <w:t xml:space="preserve">Заказчику штраф в размере 10% (десяти процентов) от размера уступленного права. В случае уступки прав, не подлежащих оценке, Подрядчик уплачивает Заказчику штраф в размере 5% (пяти процентов) от цены Договора, указанной в </w:t>
      </w:r>
      <w:r>
        <w:rPr>
          <w:rFonts w:ascii="Times New Roman" w:hAnsi="Times New Roman"/>
          <w:sz w:val="24"/>
          <w:szCs w:val="24"/>
          <w:highlight w:val="white"/>
        </w:rPr>
        <w:t xml:space="preserve">п. 3.1. Договора</w:t>
      </w:r>
      <w:r>
        <w:rPr>
          <w:rFonts w:ascii="Times New Roman" w:hAnsi="Times New Roman"/>
          <w:bCs/>
          <w:iCs/>
          <w:sz w:val="24"/>
          <w:szCs w:val="24"/>
          <w:highlight w:val="white"/>
        </w:rPr>
        <w:t xml:space="preserve">.</w:t>
      </w:r>
      <w:r>
        <w:rPr>
          <w:rFonts w:ascii="Times New Roman" w:hAnsi="Times New Roman"/>
          <w:bCs/>
          <w:iCs/>
          <w:sz w:val="24"/>
          <w:szCs w:val="24"/>
          <w:highlight w:val="white"/>
        </w:rPr>
      </w:r>
      <w:r>
        <w:rPr>
          <w:rFonts w:ascii="Times New Roman" w:hAnsi="Times New Roman"/>
          <w:bCs/>
          <w:iCs/>
          <w:sz w:val="24"/>
          <w:szCs w:val="24"/>
          <w:highlight w:val="white"/>
        </w:rPr>
      </w:r>
    </w:p>
    <w:p>
      <w:pPr>
        <w:ind w:firstLine="709"/>
        <w:jc w:val="both"/>
        <w:tabs>
          <w:tab w:val="num" w:pos="0" w:leader="none"/>
          <w:tab w:val="left" w:pos="1276" w:leader="none"/>
        </w:tabs>
        <w:rPr>
          <w:bCs/>
          <w:iCs/>
          <w:highlight w:val="white"/>
        </w:rPr>
      </w:pPr>
      <w:r>
        <w:rPr>
          <w:bCs/>
          <w:iCs/>
          <w:highlight w:val="white"/>
        </w:rPr>
        <w:t xml:space="preserve">8.22.</w:t>
      </w:r>
      <w:r>
        <w:rPr>
          <w:highlight w:val="white"/>
          <w:lang w:eastAsia="ar-SA"/>
        </w:rPr>
        <w:t xml:space="preserve"> </w:t>
      </w:r>
      <w:r>
        <w:rPr>
          <w:rFonts w:ascii="Times New Roman" w:hAnsi="Times New Roman"/>
          <w:color w:val="000000"/>
          <w:sz w:val="24"/>
          <w:szCs w:val="24"/>
          <w:highlight w:val="white"/>
        </w:rPr>
        <w:t xml:space="preserve">Если Подрядчик нарушит гарантии</w:t>
      </w:r>
      <w:r>
        <w:rPr>
          <w:highlight w:val="white"/>
          <w:lang w:eastAsia="ar-SA"/>
        </w:rPr>
        <w:t xml:space="preserve"> </w:t>
      </w:r>
      <w:r>
        <w:rPr>
          <w:rFonts w:ascii="Times New Roman" w:hAnsi="Times New Roman"/>
          <w:color w:val="000000"/>
          <w:sz w:val="24"/>
          <w:szCs w:val="24"/>
          <w:highlight w:val="white"/>
        </w:rPr>
        <w:t xml:space="preserve">по соблюдению требований постановления Правительства РФ от 09.11.2022 №2011 по отношению к физическим лицам, выполняющим работы, непосредственно связанные с обеспечением безопасности объектов топливно-энергетического комплекса,</w:t>
      </w:r>
      <w:r>
        <w:rPr>
          <w:rFonts w:ascii="Times New Roman" w:hAnsi="Times New Roman"/>
          <w:color w:val="000000"/>
          <w:sz w:val="24"/>
          <w:szCs w:val="24"/>
          <w:highlight w:val="white"/>
        </w:rPr>
        <w:t xml:space="preserve"> З</w:t>
      </w:r>
      <w:r>
        <w:rPr>
          <w:rFonts w:ascii="Times New Roman" w:hAnsi="Times New Roman"/>
          <w:color w:val="000000"/>
          <w:sz w:val="24"/>
          <w:szCs w:val="24"/>
          <w:highlight w:val="white"/>
        </w:rPr>
        <w:t xml:space="preserve">аказчику штраф в размере 50 000 (пятидесяти тысяч) рублей за каждый зафиксированный случай нарушения, в течение 5 (пяти) дней с даты получения соответствующего требования Заказчика.</w:t>
      </w:r>
      <w:r>
        <w:rPr>
          <w:bCs/>
          <w:iCs/>
          <w:highlight w:val="white"/>
        </w:rPr>
      </w:r>
      <w:r>
        <w:rPr>
          <w:bCs/>
          <w:iCs/>
          <w:highlight w:val="white"/>
        </w:rPr>
      </w:r>
    </w:p>
    <w:p>
      <w:pPr>
        <w:ind w:firstLine="709"/>
        <w:jc w:val="both"/>
        <w:tabs>
          <w:tab w:val="num" w:pos="0" w:leader="none"/>
          <w:tab w:val="left" w:pos="1276" w:leader="none"/>
        </w:tabs>
        <w:rPr>
          <w:bCs/>
          <w:iCs/>
          <w:highlight w:val="white"/>
        </w:rPr>
      </w:pPr>
      <w:r>
        <w:rPr>
          <w:bCs/>
          <w:iCs/>
          <w:highlight w:val="white"/>
        </w:rPr>
        <w:t xml:space="preserve">8.23. </w:t>
      </w:r>
      <w:r>
        <w:rPr>
          <w:rFonts w:ascii="Times New Roman" w:hAnsi="Times New Roman"/>
          <w:color w:val="000000"/>
          <w:sz w:val="24"/>
          <w:szCs w:val="24"/>
          <w:highlight w:val="white"/>
        </w:rPr>
        <w:t xml:space="preserve">За несоблюдение Подрядчиком обязательств</w:t>
      </w:r>
      <w:r>
        <w:rPr>
          <w:rFonts w:ascii="Times New Roman" w:hAnsi="Times New Roman"/>
          <w:color w:val="000000"/>
          <w:sz w:val="24"/>
          <w:szCs w:val="24"/>
          <w:highlight w:val="white"/>
        </w:rPr>
        <w:t xml:space="preserve"> </w:t>
      </w:r>
      <w:r>
        <w:rPr>
          <w:rFonts w:ascii="Times New Roman" w:hAnsi="Times New Roman"/>
          <w:color w:val="000000"/>
          <w:sz w:val="24"/>
          <w:szCs w:val="24"/>
          <w:highlight w:val="white"/>
        </w:rPr>
        <w:t xml:space="preserve">в части соблюдения требований Правил информационной безопасности</w:t>
      </w:r>
      <w:r>
        <w:rPr>
          <w:rFonts w:ascii="Times New Roman" w:hAnsi="Times New Roman"/>
          <w:color w:val="000000"/>
          <w:sz w:val="24"/>
          <w:szCs w:val="24"/>
          <w:highlight w:val="white"/>
        </w:rPr>
        <w:t xml:space="preserve"> Заказчика</w:t>
      </w:r>
      <w:r>
        <w:rPr>
          <w:rFonts w:ascii="Times New Roman" w:hAnsi="Times New Roman"/>
          <w:color w:val="000000"/>
          <w:sz w:val="24"/>
          <w:szCs w:val="24"/>
          <w:highlight w:val="white"/>
        </w:rPr>
        <w:t xml:space="preserve"> </w:t>
      </w:r>
      <w:r>
        <w:rPr>
          <w:rFonts w:ascii="Times New Roman" w:hAnsi="Times New Roman"/>
          <w:color w:val="000000"/>
          <w:sz w:val="24"/>
          <w:szCs w:val="24"/>
          <w:highlight w:val="white"/>
        </w:rPr>
        <w:t xml:space="preserve">Подрядчик </w:t>
      </w:r>
      <w:r>
        <w:rPr>
          <w:rFonts w:ascii="Times New Roman" w:hAnsi="Times New Roman"/>
          <w:color w:val="000000"/>
          <w:sz w:val="24"/>
          <w:szCs w:val="24"/>
          <w:highlight w:val="white"/>
        </w:rPr>
        <w:t xml:space="preserve">обязан уплатить штраф в размере 100 000 (ста тысяч) рублей за каждый случай неисполнения или ненадлежащего исполнения указанных обязательств, а также возместить Заказчику убытки, причиненные таким нарушением обязательств, в полной сумме сверх суммы штрафа.</w:t>
      </w:r>
      <w:r>
        <w:rPr>
          <w:bCs/>
          <w:iCs/>
          <w:highlight w:val="white"/>
        </w:rPr>
      </w:r>
      <w:r>
        <w:rPr>
          <w:bCs/>
          <w:iCs/>
          <w:highlight w:val="white"/>
        </w:rPr>
      </w:r>
    </w:p>
    <w:p>
      <w:pPr>
        <w:ind w:firstLine="709"/>
        <w:jc w:val="both"/>
        <w:tabs>
          <w:tab w:val="num" w:pos="0" w:leader="none"/>
          <w:tab w:val="left" w:pos="1276" w:leader="none"/>
        </w:tabs>
        <w:rPr>
          <w:bCs/>
          <w:iCs/>
          <w:highlight w:val="white"/>
        </w:rPr>
      </w:pPr>
      <w:r>
        <w:rPr>
          <w:bCs/>
          <w:iCs/>
          <w:highlight w:val="white"/>
        </w:rPr>
        <w:t xml:space="preserve">8.24.</w:t>
      </w:r>
      <w:r>
        <w:rPr>
          <w:bCs/>
          <w:iCs/>
          <w:highlight w:val="white"/>
        </w:rPr>
        <w:tab/>
      </w:r>
      <w:r>
        <w:rPr>
          <w:rFonts w:ascii="Times New Roman" w:hAnsi="Times New Roman"/>
          <w:color w:val="000000"/>
          <w:highlight w:val="white"/>
        </w:rPr>
        <w:t xml:space="preserve">В случае выявления Заказчиком в рамках своих полномочий, установленных в разделе «Права и обязанности Заказчика» настоящего Договора, нарушений Подрядчиком его обязательств по Договору </w:t>
      </w:r>
      <w:r>
        <w:rPr>
          <w:rFonts w:ascii="Times New Roman" w:hAnsi="Times New Roman"/>
          <w:color w:val="000000"/>
          <w:highlight w:val="white"/>
        </w:rPr>
        <w:t xml:space="preserve">в части соблюдения требований постановления Правительства Санкт-Петербурга от 06.10.2016 N 875 «Об утверждении Правил благоустройства территории Санкт-Петербурга в части, касающейся правил производства земляных, ремонтных и отдельных работ, связанных с бла</w:t>
      </w:r>
      <w:r>
        <w:rPr>
          <w:rFonts w:ascii="Times New Roman" w:hAnsi="Times New Roman"/>
          <w:color w:val="000000"/>
          <w:highlight w:val="white"/>
        </w:rPr>
        <w:t xml:space="preserve">гоустройством территории Санкт-Петербурга», Заказчик вправе за каждое нарушение по договору выставить штраф в размере 100 000,00 (сто тысяч) рублей. Данное положение о размере штрафа может быть также применено в случае, когда Заказчик выявляет нарушение пр</w:t>
      </w:r>
      <w:r>
        <w:rPr>
          <w:rFonts w:ascii="Times New Roman" w:hAnsi="Times New Roman"/>
          <w:color w:val="000000"/>
          <w:highlight w:val="white"/>
        </w:rPr>
        <w:t xml:space="preserve">авил производства работ, установленных в границах муниципальных образований и городских поселений Ленинградской области, где исполнительными органами государственной власти и местного самоуправления приняты соответствующие правила производства таких работ.</w:t>
      </w:r>
      <w:r>
        <w:rPr>
          <w:bCs/>
          <w:iCs/>
          <w:highlight w:val="white"/>
        </w:rPr>
      </w:r>
      <w:r>
        <w:rPr>
          <w:bCs/>
          <w:iCs/>
          <w:highlight w:val="white"/>
        </w:rPr>
      </w:r>
    </w:p>
    <w:p>
      <w:pPr>
        <w:ind w:firstLine="709"/>
        <w:jc w:val="both"/>
        <w:tabs>
          <w:tab w:val="num" w:pos="0" w:leader="none"/>
          <w:tab w:val="left" w:pos="1276" w:leader="none"/>
        </w:tabs>
        <w:rPr>
          <w:iCs/>
          <w:highlight w:val="white"/>
        </w:rPr>
      </w:pPr>
      <w:r>
        <w:rPr>
          <w:bCs/>
          <w:iCs/>
          <w:highlight w:val="white"/>
        </w:rPr>
        <w:t xml:space="preserve">8.25.</w:t>
      </w:r>
      <w:r>
        <w:rPr>
          <w:bCs/>
          <w:iCs/>
          <w:highlight w:val="white"/>
        </w:rPr>
        <w:tab/>
      </w:r>
      <w:r>
        <w:rPr>
          <w:rFonts w:ascii="Times New Roman" w:hAnsi="Times New Roman"/>
          <w:color w:val="000000"/>
          <w:sz w:val="24"/>
          <w:szCs w:val="24"/>
          <w:highlight w:val="white"/>
        </w:rPr>
        <w:t xml:space="preserve">В случае </w:t>
      </w:r>
      <w:r>
        <w:rPr>
          <w:rFonts w:ascii="Times New Roman" w:hAnsi="Times New Roman"/>
          <w:color w:val="000000"/>
          <w:sz w:val="24"/>
          <w:szCs w:val="24"/>
          <w:highlight w:val="white"/>
        </w:rPr>
        <w:t xml:space="preserve">невызова</w:t>
      </w:r>
      <w:r>
        <w:rPr>
          <w:rFonts w:ascii="Times New Roman" w:hAnsi="Times New Roman"/>
          <w:color w:val="000000"/>
          <w:sz w:val="24"/>
          <w:szCs w:val="24"/>
          <w:highlight w:val="white"/>
        </w:rPr>
        <w:t xml:space="preserve">/несвоевременного вызова представителей Заказчика, Исполнителя по строительному контролю в установленный договором срок для проведения освидетельствования выполненных работ Заказчик на основании составленного акта о </w:t>
      </w:r>
      <w:r>
        <w:rPr>
          <w:rFonts w:ascii="Times New Roman" w:hAnsi="Times New Roman"/>
          <w:color w:val="000000"/>
          <w:sz w:val="24"/>
          <w:szCs w:val="24"/>
          <w:highlight w:val="white"/>
        </w:rPr>
        <w:t xml:space="preserve">непредъявлении</w:t>
      </w:r>
      <w:r>
        <w:rPr>
          <w:rFonts w:ascii="Times New Roman" w:hAnsi="Times New Roman"/>
          <w:color w:val="000000"/>
          <w:sz w:val="24"/>
          <w:szCs w:val="24"/>
          <w:highlight w:val="white"/>
        </w:rPr>
        <w:t xml:space="preserve"> работ вправе удержать штраф в размере 10 000,00 (десяти тысяч) рублей по любым действующим договорам/заявкам и в одностороннем порядке провести зачет для удержания штрафа).</w:t>
      </w:r>
      <w:r>
        <w:rPr>
          <w:iCs/>
          <w:highlight w:val="white"/>
        </w:rPr>
      </w:r>
      <w:r>
        <w:rPr>
          <w:iCs/>
          <w:highlight w:val="white"/>
        </w:rPr>
      </w:r>
    </w:p>
    <w:p>
      <w:pPr>
        <w:ind w:firstLine="709"/>
        <w:jc w:val="both"/>
        <w:tabs>
          <w:tab w:val="num" w:pos="0" w:leader="none"/>
          <w:tab w:val="left" w:pos="1276" w:leader="none"/>
        </w:tabs>
        <w:rPr>
          <w:highlight w:val="white"/>
        </w:rPr>
      </w:pPr>
      <w:r>
        <w:rPr>
          <w:bCs/>
          <w:iCs/>
          <w:highlight w:val="white"/>
        </w:rPr>
        <w:t xml:space="preserve">8.26. </w:t>
      </w:r>
      <w:r>
        <w:rPr>
          <w:sz w:val="24"/>
          <w:szCs w:val="24"/>
          <w:highlight w:val="white"/>
        </w:rPr>
        <w:t xml:space="preserve">В случае нарушения порядка возврата неиспользованных материально-технических ресурсов/оборудования, установленного в Договоре, Подрядчик обязуется уплатить штраф в размере 50% от стоимости </w:t>
      </w:r>
      <w:r>
        <w:rPr>
          <w:sz w:val="24"/>
          <w:szCs w:val="24"/>
          <w:highlight w:val="white"/>
        </w:rPr>
        <w:t xml:space="preserve">неиспользованных Подрядчиком</w:t>
      </w:r>
      <w:r>
        <w:rPr>
          <w:sz w:val="24"/>
          <w:szCs w:val="24"/>
          <w:highlight w:val="white"/>
        </w:rPr>
        <w:t xml:space="preserve"> материально-технических ресурсов/оборудования.</w:t>
      </w:r>
      <w:r>
        <w:rPr>
          <w:highlight w:val="white"/>
        </w:rPr>
      </w:r>
      <w:r>
        <w:rPr>
          <w:highlight w:val="white"/>
        </w:rPr>
      </w:r>
    </w:p>
    <w:p>
      <w:pPr>
        <w:jc w:val="both"/>
      </w:pPr>
      <w:r/>
      <w:r/>
    </w:p>
    <w:p>
      <w:pPr>
        <w:pStyle w:val="1761"/>
        <w:numPr>
          <w:ilvl w:val="0"/>
          <w:numId w:val="26"/>
        </w:numPr>
        <w:ind w:left="0"/>
        <w:jc w:val="center"/>
        <w:spacing w:after="0" w:line="240" w:lineRule="auto"/>
        <w:rPr>
          <w:rFonts w:ascii="Times New Roman" w:hAnsi="Times New Roman"/>
          <w:b/>
          <w:bCs/>
          <w:color w:val="000000"/>
          <w:sz w:val="24"/>
          <w:szCs w:val="24"/>
        </w:rPr>
      </w:pPr>
      <w:r>
        <w:rPr>
          <w:rFonts w:ascii="Times New Roman" w:hAnsi="Times New Roman"/>
          <w:b/>
          <w:bCs/>
          <w:color w:val="000000"/>
          <w:sz w:val="24"/>
          <w:szCs w:val="24"/>
        </w:rPr>
        <w:t xml:space="preserve">Обстоятельства непреодолимой силы</w:t>
      </w:r>
      <w:r>
        <w:rPr>
          <w:rFonts w:ascii="Times New Roman" w:hAnsi="Times New Roman"/>
          <w:b/>
          <w:bCs/>
          <w:color w:val="000000"/>
          <w:sz w:val="24"/>
          <w:szCs w:val="24"/>
        </w:rPr>
      </w:r>
      <w:r>
        <w:rPr>
          <w:rFonts w:ascii="Times New Roman" w:hAnsi="Times New Roman"/>
          <w:b/>
          <w:bCs/>
          <w:color w:val="000000"/>
          <w:sz w:val="24"/>
          <w:szCs w:val="24"/>
        </w:rPr>
      </w:r>
    </w:p>
    <w:p>
      <w:pPr>
        <w:pStyle w:val="1796"/>
        <w:ind w:left="0" w:firstLine="709"/>
        <w:jc w:val="both"/>
        <w:spacing w:after="0" w:line="240" w:lineRule="auto"/>
        <w:widowControl w:val="off"/>
        <w:tabs>
          <w:tab w:val="left" w:pos="709" w:leader="none"/>
        </w:tabs>
      </w:pPr>
      <w:r>
        <w:t xml:space="preserve">9.1.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w:t>
      </w:r>
      <w:r>
        <w:t xml:space="preserve">илы (п. 3 ст. 401 ГК РФ).</w:t>
      </w:r>
      <w:r/>
    </w:p>
    <w:p>
      <w:pPr>
        <w:pStyle w:val="1796"/>
        <w:ind w:left="0" w:firstLine="709"/>
        <w:jc w:val="both"/>
        <w:spacing w:after="0" w:line="240" w:lineRule="auto"/>
        <w:widowControl w:val="off"/>
        <w:tabs>
          <w:tab w:val="left" w:pos="709" w:leader="none"/>
        </w:tabs>
      </w:pPr>
      <w:r>
        <w:t xml:space="preserve">Сторона, ссылающаяся на обстоятельства непреодолимой силы, обязана в течение </w:t>
      </w:r>
      <w:r>
        <w:br/>
        <w:t xml:space="preserve">5 (пяти) дней с момента возникновения таких обстоятельств, проинформировать другую Сторону Договора о наступлении подобных обстоятельств в письменной фо</w:t>
      </w:r>
      <w:r>
        <w:t xml:space="preserve">рме </w:t>
      </w:r>
      <w:r>
        <w:br/>
        <w:t xml:space="preserve">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w:t>
      </w:r>
      <w:r>
        <w:t xml:space="preserve">аступлении и о характере (виде) обстоятельств непреодолимой силы, а также, </w:t>
      </w:r>
      <w:r>
        <w:br/>
        <w:t xml:space="preserve">по возможности, оценку их влияния на исполнение Стороной своих обязательств </w:t>
      </w:r>
      <w:r>
        <w:br/>
        <w:t xml:space="preserve">по Договору и на срок исполнения обязательств.</w:t>
      </w:r>
      <w:r/>
    </w:p>
    <w:p>
      <w:pPr>
        <w:pStyle w:val="1796"/>
        <w:ind w:left="0" w:firstLine="709"/>
        <w:jc w:val="both"/>
        <w:spacing w:after="0" w:line="240" w:lineRule="auto"/>
        <w:widowControl w:val="off"/>
        <w:tabs>
          <w:tab w:val="left" w:pos="709" w:leader="none"/>
        </w:tabs>
      </w:pPr>
      <w:r>
        <w:t xml:space="preserve">При прекращении действия таких обстоятельств Сторона дол</w:t>
      </w:r>
      <w:r>
        <w:t xml:space="preserve">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r/>
    </w:p>
    <w:p>
      <w:pPr>
        <w:pStyle w:val="1796"/>
        <w:ind w:left="0" w:firstLine="709"/>
        <w:jc w:val="both"/>
        <w:spacing w:after="0" w:line="240" w:lineRule="auto"/>
        <w:widowControl w:val="off"/>
        <w:tabs>
          <w:tab w:val="left" w:pos="709" w:leader="none"/>
        </w:tabs>
      </w:pPr>
      <w:r>
        <w:t xml:space="preserve">9.2. В случаях, предус</w:t>
      </w:r>
      <w:r>
        <w:t xml:space="preserve">мотренных в пункте 9.1.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w:t>
      </w:r>
      <w:r>
        <w:t xml:space="preserve">ут действовать более 2 (двух) месяцев, любая </w:t>
      </w:r>
      <w:r>
        <w:br/>
        <w:t xml:space="preserve">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r/>
    </w:p>
    <w:p>
      <w:pPr>
        <w:pStyle w:val="1796"/>
        <w:ind w:left="0" w:firstLine="709"/>
        <w:jc w:val="both"/>
        <w:spacing w:after="0" w:line="240" w:lineRule="auto"/>
        <w:widowControl w:val="off"/>
        <w:tabs>
          <w:tab w:val="left" w:pos="709" w:leader="none"/>
        </w:tabs>
      </w:pPr>
      <w:r>
        <w:t xml:space="preserve">9.3. Сторона лишается права ссылаться на обстоятельства непреодолимой силы </w:t>
      </w:r>
      <w:r>
        <w:br/>
        <w:t xml:space="preserve">в случае невыполнения такой Стороной обязанности уведомления другой Стороны </w:t>
      </w:r>
      <w:r>
        <w:br/>
        <w:t xml:space="preserve">об обстоятельствах непреодолимой силы в установленный Договором срок.</w:t>
      </w:r>
      <w:r/>
    </w:p>
    <w:p>
      <w:pPr>
        <w:pStyle w:val="1796"/>
        <w:ind w:left="0"/>
        <w:jc w:val="both"/>
        <w:spacing w:after="0" w:line="240" w:lineRule="auto"/>
        <w:widowControl w:val="off"/>
        <w:tabs>
          <w:tab w:val="left" w:pos="709" w:leader="none"/>
        </w:tabs>
      </w:pPr>
      <w:r>
        <w:tab/>
        <w:t xml:space="preserve">Стороны не освобождаются от отве</w:t>
      </w:r>
      <w:r>
        <w:t xml:space="preserve">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p>
    <w:p>
      <w:pPr>
        <w:pStyle w:val="1796"/>
        <w:ind w:left="0"/>
        <w:jc w:val="both"/>
        <w:spacing w:after="0" w:line="240" w:lineRule="auto"/>
        <w:widowControl w:val="off"/>
        <w:tabs>
          <w:tab w:val="left" w:pos="709" w:leader="none"/>
        </w:tabs>
      </w:pPr>
      <w:r/>
      <w:r/>
    </w:p>
    <w:p>
      <w:pPr>
        <w:pStyle w:val="1761"/>
        <w:numPr>
          <w:ilvl w:val="0"/>
          <w:numId w:val="26"/>
        </w:numPr>
        <w:ind w:left="0"/>
        <w:jc w:val="center"/>
        <w:spacing w:after="0" w:line="240" w:lineRule="auto"/>
        <w:rPr>
          <w:rFonts w:ascii="Times New Roman" w:hAnsi="Times New Roman"/>
          <w:b/>
          <w:bCs/>
          <w:color w:val="000000"/>
          <w:sz w:val="24"/>
          <w:szCs w:val="24"/>
        </w:rPr>
      </w:pPr>
      <w:r>
        <w:rPr>
          <w:rFonts w:ascii="Times New Roman" w:hAnsi="Times New Roman"/>
          <w:b/>
          <w:bCs/>
          <w:color w:val="000000"/>
          <w:sz w:val="24"/>
          <w:szCs w:val="24"/>
        </w:rPr>
        <w:t xml:space="preserve">Срок действия, порядок изменения и расторжения Договора</w:t>
      </w:r>
      <w:r>
        <w:rPr>
          <w:rFonts w:ascii="Times New Roman" w:hAnsi="Times New Roman"/>
          <w:b/>
          <w:bCs/>
          <w:color w:val="000000"/>
          <w:sz w:val="24"/>
          <w:szCs w:val="24"/>
        </w:rPr>
      </w:r>
      <w:r>
        <w:rPr>
          <w:rFonts w:ascii="Times New Roman" w:hAnsi="Times New Roman"/>
          <w:b/>
          <w:bCs/>
          <w:color w:val="000000"/>
          <w:sz w:val="24"/>
          <w:szCs w:val="24"/>
        </w:rPr>
      </w:r>
    </w:p>
    <w:p>
      <w:pPr>
        <w:pStyle w:val="1761"/>
        <w:numPr>
          <w:ilvl w:val="1"/>
          <w:numId w:val="27"/>
        </w:numPr>
        <w:ind w:left="0" w:firstLine="709"/>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Договор действует с момента его подписания Сторонами до полного исполнения Сторонами своих обязательств или его расторжения.</w:t>
      </w:r>
      <w:r>
        <w:rPr>
          <w:rFonts w:ascii="Times New Roman" w:hAnsi="Times New Roman"/>
          <w:color w:val="000000"/>
          <w:sz w:val="24"/>
          <w:szCs w:val="24"/>
        </w:rPr>
      </w:r>
      <w:r>
        <w:rPr>
          <w:rFonts w:ascii="Times New Roman" w:hAnsi="Times New Roman"/>
          <w:color w:val="000000"/>
          <w:sz w:val="24"/>
          <w:szCs w:val="24"/>
        </w:rPr>
      </w:r>
    </w:p>
    <w:p>
      <w:pPr>
        <w:ind w:firstLine="709"/>
        <w:jc w:val="both"/>
        <w:widowControl w:val="off"/>
        <w:rPr>
          <w:color w:val="000000"/>
        </w:rPr>
      </w:pPr>
      <w:r>
        <w:rPr>
          <w:i/>
          <w:lang w:eastAsia="ar-SA"/>
        </w:rPr>
        <w:t xml:space="preserve">Условия Договора применяются к отношениям Сторон, возникшим </w:t>
      </w:r>
      <w:r>
        <w:rPr>
          <w:i/>
          <w:lang w:eastAsia="ar-SA"/>
        </w:rPr>
        <w:br/>
        <w:t xml:space="preserve">с «___»______________________г.</w:t>
      </w:r>
      <w:r>
        <w:rPr>
          <w:i/>
          <w:vertAlign w:val="superscript"/>
          <w:lang w:eastAsia="ar-SA"/>
        </w:rPr>
        <w:footnoteReference w:id="31"/>
      </w:r>
      <w:r>
        <w:rPr>
          <w:color w:val="000000"/>
        </w:rPr>
      </w:r>
      <w:r>
        <w:rPr>
          <w:color w:val="000000"/>
        </w:rPr>
      </w:r>
    </w:p>
    <w:p>
      <w:pPr>
        <w:pStyle w:val="1761"/>
        <w:numPr>
          <w:ilvl w:val="1"/>
          <w:numId w:val="27"/>
        </w:numPr>
        <w:ind w:left="0" w:firstLine="710"/>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Все указанные в Договоре приложения я</w:t>
      </w:r>
      <w:r>
        <w:rPr>
          <w:rFonts w:ascii="Times New Roman" w:hAnsi="Times New Roman"/>
          <w:color w:val="000000"/>
          <w:sz w:val="24"/>
          <w:szCs w:val="24"/>
        </w:rPr>
        <w:t xml:space="preserve">вляются его неотъемлемой частью.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r>
        <w:rPr>
          <w:rFonts w:ascii="Times New Roman" w:hAnsi="Times New Roman"/>
          <w:color w:val="000000"/>
          <w:sz w:val="24"/>
          <w:szCs w:val="24"/>
        </w:rPr>
      </w:r>
      <w:r>
        <w:rPr>
          <w:rFonts w:ascii="Times New Roman" w:hAnsi="Times New Roman"/>
          <w:color w:val="000000"/>
          <w:sz w:val="24"/>
          <w:szCs w:val="24"/>
        </w:rPr>
      </w:r>
    </w:p>
    <w:p>
      <w:pPr>
        <w:pStyle w:val="1761"/>
        <w:numPr>
          <w:ilvl w:val="1"/>
          <w:numId w:val="27"/>
        </w:numPr>
        <w:ind w:left="0" w:firstLine="709"/>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Заказчик в любое время вправе в одностороннем вн</w:t>
      </w:r>
      <w:r>
        <w:rPr>
          <w:rFonts w:ascii="Times New Roman" w:hAnsi="Times New Roman"/>
          <w:color w:val="000000"/>
          <w:sz w:val="24"/>
          <w:szCs w:val="24"/>
        </w:rPr>
        <w:t xml:space="preserve">есудебном порядке отказаться от исполнения Договора и расторгнуть его, путем направления уведомления Подрядчику, в том числе, в случаях:</w:t>
      </w:r>
      <w:r>
        <w:rPr>
          <w:rFonts w:ascii="Times New Roman" w:hAnsi="Times New Roman"/>
          <w:color w:val="000000"/>
          <w:sz w:val="24"/>
          <w:szCs w:val="24"/>
        </w:rPr>
      </w:r>
      <w:r>
        <w:rPr>
          <w:rFonts w:ascii="Times New Roman" w:hAnsi="Times New Roman"/>
          <w:color w:val="000000"/>
          <w:sz w:val="24"/>
          <w:szCs w:val="24"/>
        </w:rPr>
      </w:r>
    </w:p>
    <w:p>
      <w:pPr>
        <w:ind w:firstLine="851"/>
        <w:jc w:val="both"/>
        <w:widowControl w:val="off"/>
        <w:tabs>
          <w:tab w:val="num" w:pos="0" w:leader="none"/>
        </w:tabs>
        <w:rPr>
          <w:color w:val="000000"/>
        </w:rPr>
      </w:pPr>
      <w:r>
        <w:rPr>
          <w:color w:val="000000"/>
          <w:highlight w:val="yellow"/>
        </w:rPr>
        <w:t xml:space="preserve">неисполнения Подрядчиком обязательств, предусмотренных п.5.30., 5.36. Договора;</w:t>
      </w:r>
      <w:r>
        <w:rPr>
          <w:color w:val="000000"/>
        </w:rPr>
      </w:r>
      <w:r>
        <w:rPr>
          <w:color w:val="000000"/>
        </w:rPr>
      </w:r>
    </w:p>
    <w:p>
      <w:pPr>
        <w:ind w:firstLine="851"/>
        <w:jc w:val="both"/>
        <w:widowControl w:val="off"/>
        <w:tabs>
          <w:tab w:val="left" w:pos="720" w:leader="none"/>
          <w:tab w:val="left" w:pos="1080" w:leader="none"/>
          <w:tab w:val="left" w:pos="1620" w:leader="none"/>
        </w:tabs>
        <w:rPr>
          <w:color w:val="000000"/>
        </w:rPr>
      </w:pPr>
      <w:r>
        <w:rPr>
          <w:color w:val="000000"/>
        </w:rPr>
        <w:t xml:space="preserve">задержки Подрядчиком начала/просрочки вып</w:t>
      </w:r>
      <w:r>
        <w:rPr>
          <w:color w:val="000000"/>
        </w:rPr>
        <w:t xml:space="preserve">олнения работ более чем </w:t>
      </w:r>
      <w:r>
        <w:rPr>
          <w:color w:val="000000"/>
        </w:rPr>
        <w:br/>
        <w:t xml:space="preserve">на 30 (тридцать) календарных дней по причинам, не зависящим от Заказчика;</w:t>
      </w:r>
      <w:r>
        <w:rPr>
          <w:color w:val="000000"/>
        </w:rPr>
      </w:r>
      <w:r>
        <w:rPr>
          <w:color w:val="000000"/>
        </w:rPr>
      </w:r>
    </w:p>
    <w:p>
      <w:pPr>
        <w:ind w:firstLine="851"/>
        <w:jc w:val="both"/>
        <w:widowControl w:val="off"/>
        <w:tabs>
          <w:tab w:val="left" w:pos="720" w:leader="none"/>
          <w:tab w:val="left" w:pos="1080" w:leader="none"/>
        </w:tabs>
        <w:rPr>
          <w:color w:val="000000"/>
        </w:rPr>
      </w:pPr>
      <w:r>
        <w:rPr>
          <w:color w:val="000000"/>
        </w:rPr>
        <w:t xml:space="preserve">неоднократного нарушения Подрядчиком сроков выполнения работ по Договору;</w:t>
      </w:r>
      <w:r>
        <w:rPr>
          <w:color w:val="000000"/>
        </w:rPr>
      </w:r>
      <w:r>
        <w:rPr>
          <w:color w:val="000000"/>
        </w:rPr>
      </w:r>
    </w:p>
    <w:p>
      <w:pPr>
        <w:ind w:firstLine="851"/>
        <w:jc w:val="both"/>
        <w:widowControl w:val="off"/>
        <w:tabs>
          <w:tab w:val="left" w:pos="720" w:leader="none"/>
          <w:tab w:val="left" w:pos="1080" w:leader="none"/>
        </w:tabs>
        <w:rPr>
          <w:color w:val="000000"/>
        </w:rPr>
      </w:pPr>
      <w:r>
        <w:rPr>
          <w:color w:val="000000"/>
        </w:rPr>
        <w:t xml:space="preserve">несоблюдения Подрядчиком требований к качеству работ, если устранение недостатков в</w:t>
      </w:r>
      <w:r>
        <w:rPr>
          <w:color w:val="000000"/>
        </w:rPr>
        <w:t xml:space="preserve">ыполненных работ или дефектов влечет задержку выполнения работ более чем на 30 (тридцать) календарных дней;</w:t>
      </w:r>
      <w:r>
        <w:rPr>
          <w:color w:val="000000"/>
        </w:rPr>
        <w:tab/>
      </w:r>
      <w:r>
        <w:rPr>
          <w:color w:val="000000"/>
        </w:rPr>
      </w:r>
      <w:r>
        <w:rPr>
          <w:color w:val="000000"/>
        </w:rPr>
      </w:r>
    </w:p>
    <w:p>
      <w:pPr>
        <w:ind w:firstLine="851"/>
        <w:jc w:val="both"/>
        <w:widowControl w:val="off"/>
        <w:tabs>
          <w:tab w:val="left" w:pos="720" w:leader="none"/>
          <w:tab w:val="left" w:pos="1080" w:leader="none"/>
        </w:tabs>
        <w:rPr>
          <w:color w:val="000000"/>
        </w:rPr>
      </w:pPr>
      <w:r>
        <w:t xml:space="preserve">если Подрядчик, чье членство в саморегулируемой организации обязательно, будет исключен из нее</w:t>
      </w:r>
      <w:r>
        <w:rPr>
          <w:color w:val="000000"/>
        </w:rPr>
        <w:t xml:space="preserve">; </w:t>
      </w:r>
      <w:r>
        <w:rPr>
          <w:color w:val="000000"/>
        </w:rPr>
      </w:r>
      <w:r>
        <w:rPr>
          <w:color w:val="000000"/>
        </w:rPr>
      </w:r>
    </w:p>
    <w:p>
      <w:pPr>
        <w:ind w:firstLine="851"/>
        <w:jc w:val="both"/>
        <w:widowControl w:val="off"/>
        <w:tabs>
          <w:tab w:val="left" w:pos="720" w:leader="none"/>
          <w:tab w:val="left" w:pos="1080" w:leader="none"/>
        </w:tabs>
        <w:rPr>
          <w:color w:val="000000"/>
        </w:rPr>
      </w:pPr>
      <w:r>
        <w:rPr>
          <w:color w:val="000000"/>
        </w:rPr>
        <w:t xml:space="preserve">ненадлежащего выполнения/невыполнения иных обязате</w:t>
      </w:r>
      <w:r>
        <w:rPr>
          <w:color w:val="000000"/>
        </w:rPr>
        <w:t xml:space="preserve">льств Подрядчика </w:t>
      </w:r>
      <w:r>
        <w:rPr>
          <w:color w:val="000000"/>
        </w:rPr>
        <w:br/>
        <w:t xml:space="preserve">по Договору; </w:t>
      </w:r>
      <w:r>
        <w:rPr>
          <w:color w:val="000000"/>
        </w:rPr>
      </w:r>
      <w:r>
        <w:rPr>
          <w:color w:val="000000"/>
        </w:rPr>
      </w:r>
    </w:p>
    <w:p>
      <w:pPr>
        <w:ind w:firstLine="851"/>
        <w:jc w:val="both"/>
        <w:widowControl w:val="off"/>
        <w:tabs>
          <w:tab w:val="left" w:pos="720" w:leader="none"/>
          <w:tab w:val="left" w:pos="1080" w:leader="none"/>
        </w:tabs>
        <w:rPr>
          <w:color w:val="000000"/>
        </w:rPr>
      </w:pPr>
      <w:r>
        <w:rPr>
          <w:color w:val="000000"/>
        </w:rPr>
        <w:t xml:space="preserve">в случае введения процедуры несостоятельности (банкротства) в отношении Подрядчика;</w:t>
      </w:r>
      <w:r>
        <w:rPr>
          <w:color w:val="000000"/>
        </w:rPr>
      </w:r>
      <w:r>
        <w:rPr>
          <w:color w:val="000000"/>
        </w:rPr>
      </w:r>
    </w:p>
    <w:p>
      <w:pPr>
        <w:ind w:firstLine="851"/>
        <w:jc w:val="both"/>
        <w:widowControl w:val="off"/>
        <w:tabs>
          <w:tab w:val="left" w:pos="720" w:leader="none"/>
          <w:tab w:val="left" w:pos="1080" w:leader="none"/>
        </w:tabs>
        <w:rPr>
          <w:color w:val="000000"/>
        </w:rPr>
      </w:pPr>
      <w:r>
        <w:rPr>
          <w:color w:val="000000"/>
        </w:rPr>
        <w:t xml:space="preserve">в случае привлечения к выполнению работ субподрядных организаций </w:t>
      </w:r>
      <w:r>
        <w:rPr>
          <w:color w:val="000000"/>
        </w:rPr>
        <w:br/>
        <w:t xml:space="preserve">с нарушением законодательства Российской Федерации;</w:t>
      </w:r>
      <w:r>
        <w:rPr>
          <w:color w:val="000000"/>
        </w:rPr>
      </w:r>
      <w:r>
        <w:rPr>
          <w:color w:val="000000"/>
        </w:rPr>
      </w:r>
    </w:p>
    <w:p>
      <w:pPr>
        <w:ind w:firstLine="720"/>
        <w:jc w:val="both"/>
      </w:pPr>
      <w:r>
        <w:t xml:space="preserve">- в случае, если в теч</w:t>
      </w:r>
      <w:r>
        <w:t xml:space="preserve">ение срока, установленного в разделе 2 Договора, Подрядчик не завершает выполнение полного комплекса работ по благоустройству;</w:t>
      </w:r>
      <w:r/>
    </w:p>
    <w:p>
      <w:pPr>
        <w:jc w:val="both"/>
        <w:spacing w:before="14" w:after="14"/>
        <w:widowControl w:val="off"/>
        <w:tabs>
          <w:tab w:val="left" w:pos="720" w:leader="none"/>
          <w:tab w:val="left" w:pos="1080" w:leader="none"/>
        </w:tabs>
      </w:pPr>
      <w:r>
        <w:rPr>
          <w:bCs/>
        </w:rPr>
        <w:tab/>
        <w:t xml:space="preserve">- по иным основаниям, предусмотренным действующим законодательством Российской Федерации</w:t>
      </w:r>
      <w:r>
        <w:t xml:space="preserve">.</w:t>
      </w:r>
      <w:r/>
    </w:p>
    <w:p>
      <w:pPr>
        <w:ind w:firstLine="709"/>
        <w:jc w:val="both"/>
        <w:widowControl w:val="off"/>
      </w:pPr>
      <w:r>
        <w:t xml:space="preserve">После расторжения настоящего Договора Заказчик вправе выполнить работы как самостоятельно, так и привлечь иное лицо для выполнения невыполненных работ, работ, выполненных ненадлежащим образом, либо дополнительных работ, необходимость выполнения которых обу</w:t>
      </w:r>
      <w:r>
        <w:t xml:space="preserve">словлена несвоевременным восстановлением благоустройства, не ограничиваясь при этом суммами раздела сводного сметного расчета по Объекту, выделенными на благоустройство территории.</w:t>
      </w:r>
      <w:r/>
    </w:p>
    <w:p>
      <w:pPr>
        <w:ind w:firstLine="851"/>
        <w:jc w:val="both"/>
        <w:widowControl w:val="off"/>
        <w:rPr>
          <w:color w:val="000000"/>
        </w:rPr>
      </w:pPr>
      <w:r>
        <w:rPr>
          <w:color w:val="000000"/>
        </w:rPr>
        <w:t xml:space="preserve">Договор будет считаться расторгнутым, в том числе, по основаниям, предусмот</w:t>
      </w:r>
      <w:r>
        <w:rPr>
          <w:color w:val="000000"/>
        </w:rPr>
        <w:t xml:space="preserve">ренным настоящим пунктом с даты, указанной в уведомлении Заказчика </w:t>
      </w:r>
      <w:r>
        <w:rPr>
          <w:color w:val="000000"/>
        </w:rPr>
        <w:br/>
        <w:t xml:space="preserve">о расторжении Договора. </w:t>
      </w:r>
      <w:r>
        <w:rPr>
          <w:color w:val="000000"/>
        </w:rPr>
      </w:r>
      <w:r>
        <w:rPr>
          <w:color w:val="000000"/>
        </w:rPr>
      </w:r>
    </w:p>
    <w:p>
      <w:pPr>
        <w:ind w:firstLine="851"/>
        <w:jc w:val="both"/>
        <w:widowControl w:val="off"/>
        <w:rPr>
          <w:color w:val="000000"/>
        </w:rPr>
      </w:pPr>
      <w:r>
        <w:rPr>
          <w:color w:val="000000"/>
        </w:rPr>
        <w:t xml:space="preserve">При этом Подрядчик обязан возместить все убытки Заказчика, связанные </w:t>
      </w:r>
      <w:r>
        <w:rPr>
          <w:color w:val="000000"/>
        </w:rPr>
        <w:br/>
        <w:t xml:space="preserve">с односторонним расторжением Договора. При расторжении Договора выплаты, </w:t>
      </w:r>
      <w:r>
        <w:rPr>
          <w:color w:val="000000"/>
        </w:rPr>
        <w:br/>
        <w:t xml:space="preserve">за исключением выпл</w:t>
      </w:r>
      <w:r>
        <w:rPr>
          <w:color w:val="000000"/>
        </w:rPr>
        <w:t xml:space="preserve">ат за фактически выполненные и принятые работы, с Заказчика </w:t>
      </w:r>
      <w:r>
        <w:rPr>
          <w:color w:val="000000"/>
        </w:rPr>
        <w:br/>
        <w:t xml:space="preserve">не производятся. </w:t>
      </w:r>
      <w:r>
        <w:rPr>
          <w:color w:val="000000"/>
        </w:rPr>
      </w:r>
      <w:r>
        <w:rPr>
          <w:color w:val="000000"/>
        </w:rPr>
      </w:r>
    </w:p>
    <w:p>
      <w:pPr>
        <w:pStyle w:val="1761"/>
        <w:numPr>
          <w:ilvl w:val="1"/>
          <w:numId w:val="27"/>
        </w:numPr>
        <w:ind w:left="0" w:firstLine="709"/>
        <w:jc w:val="both"/>
        <w:spacing w:after="0" w:line="240" w:lineRule="auto"/>
        <w:widowControl w:val="off"/>
        <w:rPr>
          <w:rFonts w:ascii="Times New Roman" w:hAnsi="Times New Roman"/>
          <w:color w:val="000000"/>
          <w:sz w:val="24"/>
          <w:szCs w:val="24"/>
        </w:rPr>
      </w:pPr>
      <w:r>
        <w:rPr>
          <w:rFonts w:ascii="Times New Roman" w:hAnsi="Times New Roman"/>
          <w:color w:val="000000"/>
          <w:sz w:val="24"/>
          <w:szCs w:val="24"/>
        </w:rPr>
        <w:t xml:space="preserve">С даты получения Подрядчиком уведомления о расторжении Договора </w:t>
      </w:r>
      <w:r>
        <w:rPr>
          <w:rFonts w:ascii="Times New Roman" w:hAnsi="Times New Roman"/>
          <w:color w:val="000000"/>
          <w:sz w:val="24"/>
          <w:szCs w:val="24"/>
        </w:rPr>
        <w:br/>
        <w:t xml:space="preserve">и до даты одностороннего расторжения Договора, Подрядчик обязан прекратить выполнение работ и передать Заказчику</w:t>
      </w:r>
      <w:r>
        <w:rPr>
          <w:rFonts w:ascii="Times New Roman" w:hAnsi="Times New Roman"/>
          <w:color w:val="000000"/>
          <w:sz w:val="24"/>
          <w:szCs w:val="24"/>
        </w:rPr>
        <w:t xml:space="preserve"> результаты работ и все иное, связанное с выполнением работ.</w:t>
      </w:r>
      <w:r>
        <w:rPr>
          <w:rFonts w:ascii="Times New Roman" w:hAnsi="Times New Roman"/>
          <w:color w:val="000000"/>
          <w:sz w:val="24"/>
          <w:szCs w:val="24"/>
        </w:rPr>
      </w:r>
      <w:r>
        <w:rPr>
          <w:rFonts w:ascii="Times New Roman" w:hAnsi="Times New Roman"/>
          <w:color w:val="000000"/>
          <w:sz w:val="24"/>
          <w:szCs w:val="24"/>
        </w:rPr>
      </w:r>
    </w:p>
    <w:p>
      <w:pPr>
        <w:ind w:firstLine="709"/>
        <w:jc w:val="both"/>
        <w:spacing w:line="276" w:lineRule="auto"/>
        <w:widowControl w:val="off"/>
      </w:pPr>
      <w:r>
        <w:t xml:space="preserve">10.</w:t>
      </w:r>
      <w:r>
        <w:t xml:space="preserve">5.Заказчик</w:t>
      </w:r>
      <w:r>
        <w:t xml:space="preserve">  вправе требовать расторжения Договора в судебном порядке, в том числе, в случаях:</w:t>
      </w:r>
      <w:r/>
    </w:p>
    <w:p>
      <w:pPr>
        <w:ind w:firstLine="709"/>
        <w:jc w:val="both"/>
        <w:spacing w:line="276" w:lineRule="auto"/>
        <w:widowControl w:val="off"/>
      </w:pPr>
      <w:r>
        <w:t xml:space="preserve">- просрочки выполнения Работ Подрядчиком (в том числе по этапу) более, чем на 30 (тридцать) календ</w:t>
      </w:r>
      <w:r>
        <w:t xml:space="preserve">арных дней;</w:t>
      </w:r>
      <w:r/>
    </w:p>
    <w:p>
      <w:pPr>
        <w:ind w:firstLine="709"/>
        <w:jc w:val="both"/>
        <w:spacing w:line="276" w:lineRule="auto"/>
        <w:widowControl w:val="off"/>
      </w:pPr>
      <w:r>
        <w:t xml:space="preserve">- просрочки предоставления обеспечения исполнения обязательств более, чем на 30 дней;</w:t>
      </w:r>
      <w:r/>
    </w:p>
    <w:p>
      <w:pPr>
        <w:ind w:firstLine="709"/>
        <w:jc w:val="both"/>
        <w:widowControl w:val="off"/>
      </w:pPr>
      <w:r>
        <w:t xml:space="preserve">- просрочки предоставления договора комбинированного страхования строительно-монтажных рисков более, чем на 30 дней.</w:t>
      </w:r>
      <w:r/>
    </w:p>
    <w:p>
      <w:pPr>
        <w:ind w:firstLine="709"/>
        <w:jc w:val="both"/>
        <w:widowControl w:val="off"/>
        <w:rPr>
          <w:color w:val="000000"/>
        </w:rPr>
      </w:pPr>
      <w:r>
        <w:rPr>
          <w:color w:val="000000"/>
        </w:rPr>
      </w:r>
      <w:r>
        <w:rPr>
          <w:color w:val="000000"/>
        </w:rPr>
      </w:r>
      <w:r>
        <w:rPr>
          <w:color w:val="000000"/>
        </w:rPr>
      </w:r>
    </w:p>
    <w:p>
      <w:pPr>
        <w:pStyle w:val="1761"/>
        <w:numPr>
          <w:ilvl w:val="0"/>
          <w:numId w:val="27"/>
        </w:numPr>
        <w:ind w:left="0"/>
        <w:jc w:val="center"/>
        <w:spacing w:after="0" w:line="240" w:lineRule="auto"/>
        <w:shd w:val="clear" w:color="auto" w:fill="ffffff"/>
        <w:rPr>
          <w:rFonts w:ascii="Times New Roman" w:hAnsi="Times New Roman"/>
          <w:b/>
          <w:bCs/>
          <w:color w:val="000000"/>
          <w:sz w:val="24"/>
          <w:szCs w:val="24"/>
        </w:rPr>
      </w:pPr>
      <w:r>
        <w:rPr>
          <w:rFonts w:ascii="Times New Roman" w:hAnsi="Times New Roman"/>
          <w:b/>
          <w:color w:val="000000"/>
          <w:sz w:val="24"/>
          <w:szCs w:val="24"/>
        </w:rPr>
        <w:t xml:space="preserve">Порядок</w:t>
      </w:r>
      <w:r>
        <w:rPr>
          <w:rFonts w:ascii="Times New Roman" w:hAnsi="Times New Roman"/>
          <w:color w:val="000000"/>
          <w:sz w:val="24"/>
          <w:szCs w:val="24"/>
        </w:rPr>
        <w:t xml:space="preserve"> р</w:t>
      </w:r>
      <w:r>
        <w:rPr>
          <w:rFonts w:ascii="Times New Roman" w:hAnsi="Times New Roman"/>
          <w:b/>
          <w:bCs/>
          <w:color w:val="000000"/>
          <w:sz w:val="24"/>
          <w:szCs w:val="24"/>
        </w:rPr>
        <w:t xml:space="preserve">азрешение споров между Сторонами</w:t>
      </w:r>
      <w:r>
        <w:rPr>
          <w:rFonts w:ascii="Times New Roman" w:hAnsi="Times New Roman"/>
          <w:b/>
          <w:bCs/>
          <w:color w:val="000000"/>
          <w:sz w:val="24"/>
          <w:szCs w:val="24"/>
        </w:rPr>
      </w:r>
      <w:r>
        <w:rPr>
          <w:rFonts w:ascii="Times New Roman" w:hAnsi="Times New Roman"/>
          <w:b/>
          <w:bCs/>
          <w:color w:val="000000"/>
          <w:sz w:val="24"/>
          <w:szCs w:val="24"/>
        </w:rPr>
      </w:r>
    </w:p>
    <w:p>
      <w:pPr>
        <w:pStyle w:val="1765"/>
        <w:ind w:left="0"/>
        <w:jc w:val="both"/>
        <w:spacing w:after="0"/>
      </w:pPr>
      <w:r>
        <w:rPr>
          <w:i/>
        </w:rPr>
        <w:t xml:space="preserve">(Вариант 1)</w:t>
      </w:r>
      <w:r>
        <w:t xml:space="preserve"> 11.1. Спорные вопросы, возникающие в ходе выполнения Договора, разрешаются Сторонами путем переговоров. </w:t>
      </w:r>
      <w:r/>
    </w:p>
    <w:p>
      <w:pPr>
        <w:pStyle w:val="1765"/>
        <w:ind w:left="0" w:firstLine="709"/>
        <w:jc w:val="both"/>
        <w:spacing w:after="0"/>
      </w:pPr>
      <w:r>
        <w:t xml:space="preserve">11.2. Претензионный порядок урегулирования споров по Договору является обязательным. Срок для рассмотрения</w:t>
      </w:r>
      <w:r>
        <w:t xml:space="preserve"> претензий по Договору - 30 (тридцать) календарных дней с момента получения претензии.</w:t>
      </w:r>
      <w:r/>
    </w:p>
    <w:p>
      <w:pPr>
        <w:pStyle w:val="1765"/>
        <w:ind w:left="0" w:firstLine="709"/>
        <w:jc w:val="both"/>
        <w:spacing w:after="0"/>
      </w:pPr>
      <w:r>
        <w:t xml:space="preserve">11.3. Все споры между Сторонами, по которым не было достигнуто соглашение, рассматриваются в соответствии с действующим законодательством Российской Федерации в Арбитраж</w:t>
      </w:r>
      <w:r>
        <w:t xml:space="preserve">ном суде Санкт-Петербурга и Ленинградской области.</w:t>
      </w:r>
      <w:r/>
    </w:p>
    <w:p>
      <w:pPr>
        <w:pStyle w:val="1765"/>
        <w:ind w:left="0"/>
        <w:jc w:val="both"/>
        <w:spacing w:after="0"/>
      </w:pPr>
      <w:r>
        <w:rPr>
          <w:i/>
        </w:rPr>
        <w:t xml:space="preserve">(Вариант 2)</w:t>
      </w:r>
      <w:r>
        <w:rPr>
          <w:i/>
          <w:vertAlign w:val="superscript"/>
        </w:rPr>
        <w:footnoteReference w:id="32"/>
      </w:r>
      <w:r>
        <w:t xml:space="preserve"> 11.1. Все споры, разногласия и требования, возникающие из Договора </w:t>
      </w:r>
      <w:r>
        <w:br/>
        <w:t xml:space="preserve">или в связи с ним, в том числе связанные с его заключением, действием, изменением, исполнением, нарушением, расторжением, пр</w:t>
      </w:r>
      <w:r>
        <w:t xml:space="preserve">екращением и действительностью, подлежат разрешению путем переговоров.</w:t>
      </w:r>
      <w:r/>
    </w:p>
    <w:p>
      <w:pPr>
        <w:pStyle w:val="1765"/>
        <w:ind w:left="0" w:firstLine="709"/>
        <w:jc w:val="both"/>
        <w:spacing w:after="0"/>
      </w:pPr>
      <w:r>
        <w:t xml:space="preserve">11.2. В случае невозможности урегулировать возникший спор путем переговоров, </w:t>
      </w:r>
      <w:r>
        <w:br/>
        <w:t xml:space="preserve">до обращения в суд он подлежит разрешению путем применения альтернативной процедуры урегулирования споров (</w:t>
      </w:r>
      <w:r>
        <w:t xml:space="preserve">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w:t>
      </w:r>
      <w:r>
        <w:t xml:space="preserve">Россети</w:t>
      </w:r>
      <w:r>
        <w:t xml:space="preserve">».</w:t>
      </w:r>
      <w:r/>
    </w:p>
    <w:p>
      <w:pPr>
        <w:pStyle w:val="1765"/>
        <w:ind w:left="0" w:firstLine="709"/>
        <w:jc w:val="both"/>
        <w:spacing w:after="0"/>
      </w:pPr>
      <w:r>
        <w:t xml:space="preserve">11</w:t>
      </w:r>
      <w:r>
        <w:t xml:space="preserve">.3. 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w:t>
      </w:r>
      <w:r>
        <w:br/>
        <w:t xml:space="preserve">и предпринимателей (РСПП</w:t>
      </w:r>
      <w:r>
        <w:t xml:space="preserve">) в соответствии с его правилами, действующими на дату подачи искового заявления.</w:t>
      </w:r>
      <w:r/>
    </w:p>
    <w:p>
      <w:pPr>
        <w:pStyle w:val="1765"/>
        <w:ind w:left="0" w:firstLine="709"/>
        <w:jc w:val="both"/>
        <w:spacing w:after="0"/>
      </w:pPr>
      <w:r>
        <w:t xml:space="preserve">Решения Третейского суда при РСПП являются обязательными, окончательными </w:t>
      </w:r>
      <w:r>
        <w:br/>
        <w:t xml:space="preserve">и оспариванию не подлежат.</w:t>
      </w:r>
      <w:r/>
    </w:p>
    <w:p>
      <w:pPr>
        <w:pStyle w:val="1754"/>
        <w:numPr>
          <w:ilvl w:val="0"/>
          <w:numId w:val="0"/>
        </w:numPr>
        <w:ind w:firstLine="851"/>
        <w:spacing w:after="0"/>
        <w:widowControl w:val="off"/>
        <w:tabs>
          <w:tab w:val="left" w:pos="3804" w:leader="none"/>
        </w:tabs>
        <w:rPr>
          <w:rFonts w:ascii="Times New Roman" w:hAnsi="Times New Roman"/>
          <w:color w:val="000000"/>
          <w:sz w:val="24"/>
          <w:szCs w:val="24"/>
        </w:rPr>
      </w:pPr>
      <w:r>
        <w:rPr>
          <w:rFonts w:ascii="Times New Roman" w:hAnsi="Times New Roman"/>
          <w:color w:val="000000"/>
          <w:sz w:val="24"/>
          <w:szCs w:val="24"/>
        </w:rPr>
      </w:r>
      <w:r>
        <w:rPr>
          <w:rFonts w:ascii="Times New Roman" w:hAnsi="Times New Roman"/>
          <w:color w:val="000000"/>
          <w:sz w:val="24"/>
          <w:szCs w:val="24"/>
        </w:rPr>
      </w:r>
      <w:r>
        <w:rPr>
          <w:rFonts w:ascii="Times New Roman" w:hAnsi="Times New Roman"/>
          <w:color w:val="000000"/>
          <w:sz w:val="24"/>
          <w:szCs w:val="24"/>
        </w:rPr>
      </w:r>
    </w:p>
    <w:p>
      <w:pPr>
        <w:pStyle w:val="1761"/>
        <w:numPr>
          <w:ilvl w:val="0"/>
          <w:numId w:val="27"/>
        </w:numPr>
        <w:ind w:left="0"/>
        <w:jc w:val="center"/>
        <w:spacing w:after="0" w:line="240" w:lineRule="auto"/>
        <w:shd w:val="clear" w:color="auto" w:fill="ffffff"/>
        <w:rPr>
          <w:rFonts w:ascii="Times New Roman" w:hAnsi="Times New Roman"/>
          <w:b/>
          <w:color w:val="000000"/>
          <w:sz w:val="24"/>
          <w:szCs w:val="24"/>
        </w:rPr>
      </w:pPr>
      <w:r>
        <w:rPr>
          <w:rFonts w:ascii="Times New Roman" w:hAnsi="Times New Roman"/>
          <w:b/>
          <w:bCs/>
          <w:color w:val="000000"/>
          <w:sz w:val="24"/>
          <w:szCs w:val="24"/>
        </w:rPr>
        <w:t xml:space="preserve">Права на результаты интеллектуальной деятельности</w:t>
      </w:r>
      <w:r>
        <w:rPr>
          <w:rFonts w:ascii="Times New Roman" w:hAnsi="Times New Roman"/>
          <w:b/>
          <w:color w:val="000000"/>
          <w:sz w:val="24"/>
          <w:szCs w:val="24"/>
        </w:rPr>
      </w:r>
      <w:r>
        <w:rPr>
          <w:rFonts w:ascii="Times New Roman" w:hAnsi="Times New Roman"/>
          <w:b/>
          <w:color w:val="000000"/>
          <w:sz w:val="24"/>
          <w:szCs w:val="24"/>
        </w:rPr>
      </w:r>
    </w:p>
    <w:p>
      <w:pPr>
        <w:ind w:firstLine="709"/>
        <w:jc w:val="both"/>
        <w:widowControl w:val="off"/>
      </w:pPr>
      <w:r>
        <w:rPr>
          <w:lang w:eastAsia="ar-SA"/>
        </w:rPr>
        <w:t xml:space="preserve">12.1 </w:t>
      </w:r>
      <w:r>
        <w:t xml:space="preserve">В</w:t>
      </w:r>
      <w:r>
        <w:t xml:space="preserve"> случае если в </w:t>
      </w:r>
      <w:r>
        <w:rPr>
          <w:lang w:eastAsia="ar-SA"/>
        </w:rPr>
        <w:t xml:space="preserve">результате Работ</w:t>
      </w:r>
      <w:r>
        <w:t xml:space="preserve"> будут созданы охраняемые результаты интеллектуальной деятельности, Подрядчик обязан передать Заказчику в установленном порядке исключительные права на использование таких результатов в полном объеме, необходимом для проектирования, строите</w:t>
      </w:r>
      <w:r>
        <w:t xml:space="preserve">льства и эксплуатации объекта, включая заключение и регистрацию договоров об отчуждении исключительных прав, лицензионных и </w:t>
      </w:r>
      <w:r>
        <w:t xml:space="preserve">сублицензионных</w:t>
      </w:r>
      <w:r>
        <w:t xml:space="preserve"> договоров. Подрядчик несет данную обязанность также в случае досрочного расторжения Договора по любым основаниям.</w:t>
      </w:r>
      <w:r/>
    </w:p>
    <w:p>
      <w:pPr>
        <w:pStyle w:val="1761"/>
        <w:ind w:left="0"/>
        <w:jc w:val="both"/>
        <w:spacing w:after="0" w:line="240" w:lineRule="auto"/>
        <w:widowControl w:val="off"/>
        <w:rPr>
          <w:rFonts w:ascii="Times New Roman" w:hAnsi="Times New Roman"/>
          <w:sz w:val="24"/>
          <w:szCs w:val="24"/>
          <w:lang w:eastAsia="ar-SA"/>
        </w:rPr>
      </w:pPr>
      <w:r>
        <w:rPr>
          <w:rFonts w:ascii="Times New Roman" w:hAnsi="Times New Roman"/>
          <w:sz w:val="24"/>
          <w:szCs w:val="24"/>
          <w:lang w:eastAsia="ar-SA"/>
        </w:rPr>
      </w:r>
      <w:r>
        <w:rPr>
          <w:rFonts w:ascii="Times New Roman" w:hAnsi="Times New Roman"/>
          <w:sz w:val="24"/>
          <w:szCs w:val="24"/>
          <w:lang w:eastAsia="ar-SA"/>
        </w:rPr>
      </w:r>
      <w:r>
        <w:rPr>
          <w:rFonts w:ascii="Times New Roman" w:hAnsi="Times New Roman"/>
          <w:sz w:val="24"/>
          <w:szCs w:val="24"/>
          <w:lang w:eastAsia="ar-SA"/>
        </w:rPr>
      </w:r>
    </w:p>
    <w:p>
      <w:pPr>
        <w:pStyle w:val="1761"/>
        <w:numPr>
          <w:ilvl w:val="0"/>
          <w:numId w:val="27"/>
        </w:numPr>
        <w:ind w:left="0"/>
        <w:jc w:val="center"/>
        <w:spacing w:after="0" w:line="240" w:lineRule="auto"/>
        <w:shd w:val="clear" w:color="auto" w:fill="ffffff"/>
        <w:rPr>
          <w:rFonts w:ascii="Times New Roman" w:hAnsi="Times New Roman"/>
          <w:b/>
          <w:bCs/>
          <w:color w:val="000000"/>
          <w:sz w:val="24"/>
          <w:szCs w:val="24"/>
        </w:rPr>
      </w:pPr>
      <w:r>
        <w:rPr>
          <w:rFonts w:ascii="Times New Roman" w:hAnsi="Times New Roman"/>
          <w:b/>
          <w:bCs/>
          <w:color w:val="000000"/>
          <w:sz w:val="24"/>
          <w:szCs w:val="24"/>
        </w:rPr>
        <w:t xml:space="preserve">О</w:t>
      </w:r>
      <w:r>
        <w:rPr>
          <w:rFonts w:ascii="Times New Roman" w:hAnsi="Times New Roman"/>
          <w:b/>
          <w:bCs/>
          <w:color w:val="000000"/>
          <w:sz w:val="24"/>
          <w:szCs w:val="24"/>
        </w:rPr>
        <w:t xml:space="preserve">беспечение обязательств Подрядчика</w:t>
      </w:r>
      <w:r>
        <w:rPr>
          <w:rStyle w:val="1763"/>
          <w:rFonts w:ascii="Times New Roman" w:hAnsi="Times New Roman"/>
          <w:b/>
          <w:bCs/>
          <w:color w:val="000000"/>
          <w:sz w:val="24"/>
          <w:szCs w:val="24"/>
        </w:rPr>
        <w:footnoteReference w:id="33"/>
      </w:r>
      <w:r>
        <w:rPr>
          <w:rFonts w:ascii="Times New Roman" w:hAnsi="Times New Roman"/>
          <w:b/>
          <w:bCs/>
          <w:color w:val="000000"/>
          <w:sz w:val="24"/>
          <w:szCs w:val="24"/>
        </w:rPr>
        <w:t xml:space="preserve"> </w:t>
      </w:r>
      <w:r>
        <w:rPr>
          <w:rStyle w:val="1763"/>
          <w:rFonts w:ascii="Times New Roman" w:hAnsi="Times New Roman"/>
          <w:b/>
          <w:bCs/>
          <w:color w:val="000000"/>
          <w:sz w:val="24"/>
          <w:szCs w:val="24"/>
        </w:rPr>
        <w:footnoteReference w:id="34"/>
      </w:r>
      <w:r>
        <w:rPr>
          <w:rStyle w:val="1763"/>
          <w:rFonts w:ascii="Times New Roman" w:hAnsi="Times New Roman"/>
          <w:b/>
          <w:bCs/>
          <w:color w:val="000000"/>
          <w:sz w:val="24"/>
          <w:szCs w:val="24"/>
        </w:rPr>
        <w:t xml:space="preserve"> </w:t>
      </w:r>
      <w:r>
        <w:rPr>
          <w:rStyle w:val="1763"/>
          <w:rFonts w:ascii="Times New Roman" w:hAnsi="Times New Roman"/>
          <w:b/>
          <w:bCs/>
          <w:color w:val="000000"/>
          <w:sz w:val="24"/>
          <w:szCs w:val="24"/>
        </w:rPr>
        <w:footnoteReference w:id="35"/>
      </w:r>
      <w:r>
        <w:rPr>
          <w:rFonts w:ascii="Times New Roman" w:hAnsi="Times New Roman"/>
          <w:b/>
          <w:bCs/>
          <w:color w:val="000000"/>
          <w:sz w:val="24"/>
          <w:szCs w:val="24"/>
        </w:rPr>
        <w:t xml:space="preserve"> </w:t>
      </w:r>
      <w:r>
        <w:rPr>
          <w:rFonts w:ascii="Times New Roman" w:hAnsi="Times New Roman"/>
          <w:b/>
          <w:bCs/>
          <w:color w:val="000000"/>
          <w:sz w:val="24"/>
          <w:szCs w:val="24"/>
        </w:rPr>
      </w:r>
      <w:r>
        <w:rPr>
          <w:rFonts w:ascii="Times New Roman" w:hAnsi="Times New Roman"/>
          <w:b/>
          <w:bCs/>
          <w:color w:val="000000"/>
          <w:sz w:val="24"/>
          <w:szCs w:val="24"/>
        </w:rPr>
      </w:r>
    </w:p>
    <w:p>
      <w:pPr>
        <w:pStyle w:val="1761"/>
        <w:numPr>
          <w:ilvl w:val="1"/>
          <w:numId w:val="27"/>
        </w:numPr>
        <w:ind w:left="0" w:firstLine="709"/>
        <w:jc w:val="both"/>
        <w:rPr>
          <w:rFonts w:ascii="Times New Roman" w:hAnsi="Times New Roman"/>
          <w:sz w:val="24"/>
          <w:szCs w:val="24"/>
        </w:rPr>
      </w:pPr>
      <w:r>
        <w:rPr>
          <w:rFonts w:ascii="Times New Roman" w:hAnsi="Times New Roman"/>
          <w:sz w:val="24"/>
          <w:szCs w:val="24"/>
        </w:rPr>
        <w:t xml:space="preserve">Порядок и условия предоставления обеспечения </w:t>
      </w:r>
      <w:r>
        <w:rPr>
          <w:rFonts w:ascii="Times New Roman" w:hAnsi="Times New Roman"/>
          <w:sz w:val="24"/>
          <w:szCs w:val="20"/>
          <w:lang w:eastAsia="ar-SA"/>
        </w:rPr>
        <w:t xml:space="preserve">возврата аванса</w:t>
      </w:r>
      <w:r>
        <w:rPr>
          <w:rFonts w:ascii="Times New Roman" w:hAnsi="Times New Roman"/>
          <w:sz w:val="24"/>
          <w:szCs w:val="20"/>
          <w:vertAlign w:val="superscript"/>
          <w:lang w:eastAsia="ar-SA"/>
        </w:rPr>
        <w:footnoteReference w:id="36"/>
      </w:r>
      <w:r>
        <w:rPr>
          <w:rFonts w:ascii="Times New Roman" w:hAnsi="Times New Roman"/>
          <w:sz w:val="24"/>
          <w:szCs w:val="20"/>
          <w:lang w:eastAsia="ar-SA"/>
        </w:rPr>
        <w:t xml:space="preserve">/исполнения обязательств</w:t>
      </w:r>
      <w:r>
        <w:rPr>
          <w:rFonts w:ascii="Times New Roman" w:hAnsi="Times New Roman"/>
          <w:sz w:val="24"/>
          <w:szCs w:val="20"/>
          <w:vertAlign w:val="superscript"/>
          <w:lang w:eastAsia="ar-SA"/>
        </w:rPr>
        <w:footnoteReference w:id="37"/>
      </w:r>
      <w:r>
        <w:rPr>
          <w:rFonts w:ascii="Times New Roman" w:hAnsi="Times New Roman"/>
          <w:sz w:val="24"/>
          <w:szCs w:val="20"/>
          <w:lang w:eastAsia="ar-SA"/>
        </w:rPr>
        <w:t xml:space="preserve">/гарантийные обязательства</w:t>
      </w:r>
      <w:r>
        <w:rPr>
          <w:rFonts w:ascii="Times New Roman" w:hAnsi="Times New Roman"/>
          <w:sz w:val="24"/>
          <w:szCs w:val="20"/>
          <w:vertAlign w:val="superscript"/>
          <w:lang w:eastAsia="ar-SA"/>
        </w:rPr>
        <w:footnoteReference w:id="38"/>
      </w:r>
      <w:r>
        <w:rPr>
          <w:rFonts w:ascii="Times New Roman" w:hAnsi="Times New Roman"/>
          <w:sz w:val="24"/>
          <w:szCs w:val="24"/>
        </w:rPr>
        <w:t xml:space="preserve"> по Договору устанавливаются согласно Приложению №15 к настоящему Договору.</w:t>
      </w:r>
      <w:r>
        <w:rPr>
          <w:rFonts w:ascii="Times New Roman" w:hAnsi="Times New Roman"/>
          <w:sz w:val="24"/>
          <w:szCs w:val="24"/>
        </w:rPr>
      </w:r>
      <w:r>
        <w:rPr>
          <w:rFonts w:ascii="Times New Roman" w:hAnsi="Times New Roman"/>
          <w:sz w:val="24"/>
          <w:szCs w:val="24"/>
        </w:rPr>
      </w:r>
    </w:p>
    <w:p>
      <w:pPr>
        <w:pStyle w:val="1761"/>
        <w:ind w:left="709"/>
        <w:jc w:val="both"/>
        <w:rPr>
          <w:rFonts w:ascii="Times New Roman" w:hAnsi="Times New Roman"/>
          <w:sz w:val="24"/>
          <w:szCs w:val="24"/>
          <w:highlight w:val="green"/>
        </w:rPr>
      </w:pPr>
      <w:r>
        <w:rPr>
          <w:rFonts w:ascii="Times New Roman" w:hAnsi="Times New Roman"/>
          <w:sz w:val="24"/>
          <w:szCs w:val="24"/>
          <w:highlight w:val="green"/>
        </w:rPr>
      </w:r>
      <w:r>
        <w:rPr>
          <w:rFonts w:ascii="Times New Roman" w:hAnsi="Times New Roman"/>
          <w:sz w:val="24"/>
          <w:szCs w:val="24"/>
          <w:highlight w:val="green"/>
        </w:rPr>
      </w:r>
      <w:r>
        <w:rPr>
          <w:rFonts w:ascii="Times New Roman" w:hAnsi="Times New Roman"/>
          <w:sz w:val="24"/>
          <w:szCs w:val="24"/>
          <w:highlight w:val="green"/>
        </w:rPr>
      </w:r>
    </w:p>
    <w:p>
      <w:pPr>
        <w:pStyle w:val="1761"/>
        <w:numPr>
          <w:ilvl w:val="0"/>
          <w:numId w:val="27"/>
        </w:numPr>
        <w:ind w:left="0" w:firstLine="0"/>
        <w:jc w:val="center"/>
        <w:spacing w:after="0" w:line="240" w:lineRule="auto"/>
        <w:shd w:val="clear" w:color="auto" w:fill="ffffff"/>
        <w:rPr>
          <w:rFonts w:ascii="Times New Roman" w:hAnsi="Times New Roman"/>
          <w:b/>
          <w:bCs/>
          <w:color w:val="000000"/>
          <w:sz w:val="24"/>
          <w:szCs w:val="24"/>
        </w:rPr>
      </w:pPr>
      <w:r>
        <w:rPr>
          <w:rFonts w:ascii="Times New Roman" w:hAnsi="Times New Roman"/>
          <w:b/>
          <w:bCs/>
          <w:color w:val="000000"/>
          <w:sz w:val="24"/>
          <w:szCs w:val="24"/>
        </w:rPr>
        <w:t xml:space="preserve">Антикоррупционная оговорка.</w:t>
      </w:r>
      <w:r>
        <w:rPr>
          <w:rFonts w:ascii="Times New Roman" w:hAnsi="Times New Roman"/>
          <w:b/>
          <w:bCs/>
          <w:color w:val="000000"/>
          <w:sz w:val="24"/>
          <w:szCs w:val="24"/>
          <w:vertAlign w:val="superscript"/>
        </w:rPr>
        <w:footnoteReference w:id="39"/>
      </w:r>
      <w:r>
        <w:rPr>
          <w:rFonts w:ascii="Times New Roman" w:hAnsi="Times New Roman"/>
          <w:b/>
          <w:bCs/>
          <w:color w:val="000000"/>
          <w:sz w:val="24"/>
          <w:szCs w:val="24"/>
        </w:rPr>
      </w:r>
      <w:r>
        <w:rPr>
          <w:rFonts w:ascii="Times New Roman" w:hAnsi="Times New Roman"/>
          <w:b/>
          <w:bCs/>
          <w:color w:val="000000"/>
          <w:sz w:val="24"/>
          <w:szCs w:val="24"/>
        </w:rPr>
      </w:r>
    </w:p>
    <w:p>
      <w:pPr>
        <w:pStyle w:val="1761"/>
        <w:ind w:left="0"/>
        <w:spacing w:after="0" w:line="240" w:lineRule="auto"/>
        <w:shd w:val="clear" w:color="auto" w:fill="ffffff"/>
        <w:rPr>
          <w:rFonts w:ascii="Times New Roman" w:hAnsi="Times New Roman"/>
          <w:b/>
          <w:bCs/>
          <w:color w:val="000000"/>
          <w:sz w:val="24"/>
          <w:szCs w:val="24"/>
        </w:rPr>
      </w:pPr>
      <w:r>
        <w:rPr>
          <w:rFonts w:ascii="Times New Roman" w:hAnsi="Times New Roman"/>
          <w:sz w:val="24"/>
          <w:szCs w:val="24"/>
          <w:lang w:eastAsia="ar-SA"/>
        </w:rPr>
        <w:t xml:space="preserve">(Вариант 1)</w:t>
      </w:r>
      <w:r>
        <w:rPr>
          <w:rFonts w:ascii="Times New Roman" w:hAnsi="Times New Roman"/>
          <w:sz w:val="24"/>
          <w:szCs w:val="24"/>
          <w:vertAlign w:val="superscript"/>
          <w:lang w:eastAsia="ar-SA"/>
        </w:rPr>
        <w:footnoteReference w:id="40"/>
      </w:r>
      <w:r>
        <w:rPr>
          <w:rFonts w:ascii="Times New Roman" w:hAnsi="Times New Roman"/>
          <w:b/>
          <w:bCs/>
          <w:color w:val="000000"/>
          <w:sz w:val="24"/>
          <w:szCs w:val="24"/>
        </w:rPr>
      </w:r>
      <w:r>
        <w:rPr>
          <w:rFonts w:ascii="Times New Roman" w:hAnsi="Times New Roman"/>
          <w:b/>
          <w:bCs/>
          <w:color w:val="000000"/>
          <w:sz w:val="24"/>
          <w:szCs w:val="24"/>
        </w:rPr>
      </w:r>
    </w:p>
    <w:p>
      <w:pPr>
        <w:pStyle w:val="1761"/>
        <w:numPr>
          <w:ilvl w:val="1"/>
          <w:numId w:val="27"/>
        </w:numPr>
        <w:ind w:left="0" w:firstLine="710"/>
        <w:jc w:val="both"/>
        <w:spacing w:after="0" w:line="240" w:lineRule="auto"/>
        <w:rPr>
          <w:rFonts w:ascii="Times New Roman" w:hAnsi="Times New Roman"/>
          <w:sz w:val="24"/>
          <w:szCs w:val="24"/>
          <w:lang w:eastAsia="ar-SA"/>
        </w:rPr>
      </w:pPr>
      <w:r>
        <w:rPr>
          <w:rFonts w:ascii="Times New Roman" w:hAnsi="Times New Roman"/>
          <w:sz w:val="24"/>
          <w:szCs w:val="24"/>
          <w:lang w:eastAsia="ar-SA"/>
        </w:rPr>
        <w:t xml:space="preserve">Подрядчик известно о том, что ПАО «</w:t>
      </w:r>
      <w:r>
        <w:rPr>
          <w:rFonts w:ascii="Times New Roman" w:hAnsi="Times New Roman"/>
          <w:sz w:val="24"/>
          <w:szCs w:val="24"/>
          <w:lang w:eastAsia="ar-SA"/>
        </w:rPr>
        <w:t xml:space="preserve">Россети</w:t>
      </w:r>
      <w:r>
        <w:rPr>
          <w:rFonts w:ascii="Times New Roman" w:hAnsi="Times New Roman"/>
          <w:sz w:val="24"/>
          <w:szCs w:val="24"/>
          <w:lang w:eastAsia="ar-SA"/>
        </w:rPr>
        <w:t xml:space="preserve"> Ленэнерго»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w:t>
      </w:r>
      <w:r>
        <w:rPr>
          <w:rFonts w:ascii="Times New Roman" w:hAnsi="Times New Roman"/>
          <w:sz w:val="24"/>
          <w:szCs w:val="24"/>
          <w:lang w:eastAsia="ar-SA"/>
        </w:rPr>
        <w:br/>
        <w:t xml:space="preserve">к Антикоррупционной </w:t>
      </w:r>
      <w:r>
        <w:rPr>
          <w:rFonts w:ascii="Times New Roman" w:hAnsi="Times New Roman"/>
          <w:sz w:val="24"/>
          <w:szCs w:val="24"/>
          <w:lang w:eastAsia="ar-SA"/>
        </w:rPr>
        <w:t xml:space="preserve">хартии российского бизнеса (свидетельство от 01.06.2015 № 2023),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w:t>
      </w:r>
      <w:r>
        <w:rPr>
          <w:rFonts w:ascii="Times New Roman" w:hAnsi="Times New Roman"/>
          <w:sz w:val="24"/>
          <w:szCs w:val="24"/>
          <w:lang w:eastAsia="ar-SA"/>
        </w:rPr>
        <w:t xml:space="preserve">еров и поддерживают антикоррупционные стандарты ведения бизнеса.</w:t>
      </w:r>
      <w:r>
        <w:rPr>
          <w:rFonts w:ascii="Times New Roman" w:hAnsi="Times New Roman"/>
          <w:sz w:val="24"/>
          <w:szCs w:val="24"/>
          <w:lang w:eastAsia="ar-SA"/>
        </w:rPr>
      </w:r>
      <w:r>
        <w:rPr>
          <w:rFonts w:ascii="Times New Roman" w:hAnsi="Times New Roman"/>
          <w:sz w:val="24"/>
          <w:szCs w:val="24"/>
          <w:lang w:eastAsia="ar-SA"/>
        </w:rPr>
      </w:r>
    </w:p>
    <w:p>
      <w:pPr>
        <w:pStyle w:val="1761"/>
        <w:numPr>
          <w:ilvl w:val="1"/>
          <w:numId w:val="27"/>
        </w:numPr>
        <w:ind w:left="0" w:firstLine="709"/>
        <w:jc w:val="both"/>
        <w:spacing w:after="0" w:line="240" w:lineRule="auto"/>
        <w:rPr>
          <w:rFonts w:ascii="Times New Roman" w:hAnsi="Times New Roman"/>
          <w:sz w:val="24"/>
          <w:szCs w:val="24"/>
          <w:lang w:eastAsia="ar-SA"/>
        </w:rPr>
      </w:pPr>
      <w:r>
        <w:rPr>
          <w:rFonts w:ascii="Times New Roman" w:hAnsi="Times New Roman"/>
          <w:sz w:val="24"/>
          <w:szCs w:val="24"/>
          <w:lang w:eastAsia="ar-SA"/>
        </w:rPr>
        <w:t xml:space="preserve">Подрядчик настоящим подтверждает, что он ознакомился с Антикоррупционной хартией российского бизнеса и Антикоррупционной политико</w:t>
      </w:r>
      <w:r>
        <w:rPr>
          <w:rFonts w:ascii="Times New Roman" w:hAnsi="Times New Roman"/>
          <w:sz w:val="24"/>
          <w:szCs w:val="24"/>
          <w:lang w:eastAsia="ar-SA"/>
        </w:rPr>
        <w:t xml:space="preserve">й ПАО «</w:t>
      </w:r>
      <w:r>
        <w:rPr>
          <w:rFonts w:ascii="Times New Roman" w:hAnsi="Times New Roman"/>
          <w:sz w:val="24"/>
          <w:szCs w:val="24"/>
          <w:lang w:eastAsia="ar-SA"/>
        </w:rPr>
        <w:t xml:space="preserve">Россети</w:t>
      </w:r>
      <w:r>
        <w:rPr>
          <w:rFonts w:ascii="Times New Roman" w:hAnsi="Times New Roman"/>
          <w:sz w:val="24"/>
          <w:szCs w:val="24"/>
          <w:lang w:eastAsia="ar-SA"/>
        </w:rPr>
        <w:t xml:space="preserve"> Ленэнерго» (представленной в разделе «Антикоррупционная политика» на официальном сайте ПАО «</w:t>
      </w:r>
      <w:r>
        <w:rPr>
          <w:rFonts w:ascii="Times New Roman" w:hAnsi="Times New Roman"/>
          <w:sz w:val="24"/>
          <w:szCs w:val="24"/>
          <w:lang w:eastAsia="ar-SA"/>
        </w:rPr>
        <w:t xml:space="preserve">Россети</w:t>
      </w:r>
      <w:r>
        <w:rPr>
          <w:rFonts w:ascii="Times New Roman" w:hAnsi="Times New Roman"/>
          <w:sz w:val="24"/>
          <w:szCs w:val="24"/>
          <w:lang w:eastAsia="ar-SA"/>
        </w:rPr>
        <w:t xml:space="preserve"> Ленэнерго» по адресу: https://rosseti-lenenergo.ru/about/corruption/), полностью принимает положения Антикоррупционной политики ПАО «</w:t>
      </w:r>
      <w:r>
        <w:rPr>
          <w:rFonts w:ascii="Times New Roman" w:hAnsi="Times New Roman"/>
          <w:sz w:val="24"/>
          <w:szCs w:val="24"/>
          <w:lang w:eastAsia="ar-SA"/>
        </w:rPr>
        <w:t xml:space="preserve">Россети</w:t>
      </w:r>
      <w:r>
        <w:rPr>
          <w:rFonts w:ascii="Times New Roman" w:hAnsi="Times New Roman"/>
          <w:sz w:val="24"/>
          <w:szCs w:val="24"/>
          <w:lang w:eastAsia="ar-SA"/>
        </w:rPr>
        <w:t xml:space="preserve"> </w:t>
      </w:r>
      <w:r>
        <w:rPr>
          <w:rFonts w:ascii="Times New Roman" w:hAnsi="Times New Roman"/>
          <w:sz w:val="24"/>
          <w:szCs w:val="24"/>
          <w:lang w:eastAsia="ar-SA"/>
        </w:rPr>
        <w:t xml:space="preserve">Ленэнерго»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Pr>
          <w:rFonts w:ascii="Times New Roman" w:hAnsi="Times New Roman"/>
          <w:sz w:val="24"/>
          <w:szCs w:val="24"/>
          <w:lang w:eastAsia="ar-SA"/>
        </w:rPr>
      </w:r>
      <w:r>
        <w:rPr>
          <w:rFonts w:ascii="Times New Roman" w:hAnsi="Times New Roman"/>
          <w:sz w:val="24"/>
          <w:szCs w:val="24"/>
          <w:lang w:eastAsia="ar-SA"/>
        </w:rPr>
      </w:r>
    </w:p>
    <w:p>
      <w:pPr>
        <w:pStyle w:val="1761"/>
        <w:numPr>
          <w:ilvl w:val="1"/>
          <w:numId w:val="27"/>
        </w:numPr>
        <w:ind w:left="0" w:firstLine="710"/>
        <w:jc w:val="both"/>
        <w:spacing w:after="0" w:line="240" w:lineRule="auto"/>
        <w:rPr>
          <w:rFonts w:ascii="Times New Roman" w:hAnsi="Times New Roman"/>
          <w:sz w:val="24"/>
          <w:szCs w:val="24"/>
          <w:lang w:eastAsia="ar-SA"/>
        </w:rPr>
      </w:pPr>
      <w:r>
        <w:rPr>
          <w:rFonts w:ascii="Times New Roman" w:hAnsi="Times New Roman"/>
          <w:sz w:val="24"/>
          <w:szCs w:val="24"/>
          <w:lang w:eastAsia="ar-SA"/>
        </w:rPr>
        <w:t xml:space="preserve">При исполнении своих обязательств по Договору Стороны, </w:t>
      </w:r>
      <w:r>
        <w:rPr>
          <w:rFonts w:ascii="Times New Roman" w:hAnsi="Times New Roman"/>
          <w:sz w:val="24"/>
          <w:szCs w:val="24"/>
          <w:lang w:eastAsia="ar-SA"/>
        </w:rPr>
        <w:br/>
        <w:t xml:space="preserve">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w:t>
      </w:r>
      <w:r>
        <w:rPr>
          <w:rFonts w:ascii="Times New Roman" w:hAnsi="Times New Roman"/>
          <w:sz w:val="24"/>
          <w:szCs w:val="24"/>
          <w:lang w:eastAsia="ar-SA"/>
        </w:rPr>
        <w:br/>
        <w:t xml:space="preserve">или косвенно, любым лицам для оказани</w:t>
      </w:r>
      <w:r>
        <w:rPr>
          <w:rFonts w:ascii="Times New Roman" w:hAnsi="Times New Roman"/>
          <w:sz w:val="24"/>
          <w:szCs w:val="24"/>
          <w:lang w:eastAsia="ar-SA"/>
        </w:rPr>
        <w:t xml:space="preserve">я влияния на действия или решения этих лиц с целью получить какие-либо неправомерные преимущества или достичь иные неправомерные цели.</w:t>
      </w:r>
      <w:r>
        <w:rPr>
          <w:rFonts w:ascii="Times New Roman" w:hAnsi="Times New Roman"/>
          <w:sz w:val="24"/>
          <w:szCs w:val="24"/>
          <w:lang w:eastAsia="ar-SA"/>
        </w:rPr>
      </w:r>
      <w:r>
        <w:rPr>
          <w:rFonts w:ascii="Times New Roman" w:hAnsi="Times New Roman"/>
          <w:sz w:val="24"/>
          <w:szCs w:val="24"/>
          <w:lang w:eastAsia="ar-SA"/>
        </w:rPr>
      </w:r>
    </w:p>
    <w:p>
      <w:pPr>
        <w:ind w:firstLine="710"/>
        <w:jc w:val="both"/>
        <w:tabs>
          <w:tab w:val="num" w:pos="0" w:leader="none"/>
        </w:tabs>
        <w:rPr>
          <w:lang w:eastAsia="ar-SA"/>
        </w:rPr>
      </w:pPr>
      <w:r>
        <w:rPr>
          <w:lang w:eastAsia="ar-SA"/>
        </w:rPr>
        <w:t xml:space="preserve">Стороны отказываются от стимулирования каким-либо образом работников друг друга, в том числе путем предоставления денежны</w:t>
      </w:r>
      <w:r>
        <w:rPr>
          <w:lang w:eastAsia="ar-SA"/>
        </w:rPr>
        <w:t xml:space="preserve">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w:t>
      </w:r>
      <w:r>
        <w:rPr>
          <w:lang w:eastAsia="ar-SA"/>
        </w:rPr>
        <w:t xml:space="preserve">ующей его стороны (Подрядчика и Заказчика).</w:t>
      </w:r>
      <w:r>
        <w:rPr>
          <w:lang w:eastAsia="ar-SA"/>
        </w:rPr>
      </w:r>
      <w:r>
        <w:rPr>
          <w:lang w:eastAsia="ar-SA"/>
        </w:rPr>
      </w:r>
    </w:p>
    <w:p>
      <w:pPr>
        <w:pStyle w:val="1761"/>
        <w:numPr>
          <w:ilvl w:val="1"/>
          <w:numId w:val="27"/>
        </w:numPr>
        <w:ind w:left="0" w:firstLine="710"/>
        <w:jc w:val="both"/>
        <w:spacing w:after="0" w:line="240" w:lineRule="auto"/>
        <w:rPr>
          <w:rFonts w:ascii="Times New Roman" w:hAnsi="Times New Roman"/>
          <w:sz w:val="24"/>
          <w:szCs w:val="24"/>
          <w:lang w:eastAsia="ar-SA"/>
        </w:rPr>
      </w:pPr>
      <w:r>
        <w:rPr>
          <w:rFonts w:ascii="Times New Roman" w:hAnsi="Times New Roman"/>
          <w:sz w:val="24"/>
          <w:szCs w:val="24"/>
          <w:lang w:eastAsia="ar-SA"/>
        </w:rPr>
        <w:t xml:space="preserve">В случае возникновения у одной из Сторон подозрений, что произошло </w:t>
      </w:r>
      <w:r>
        <w:rPr>
          <w:rFonts w:ascii="Times New Roman" w:hAnsi="Times New Roman"/>
          <w:sz w:val="24"/>
          <w:szCs w:val="24"/>
          <w:lang w:eastAsia="ar-SA"/>
        </w:rPr>
        <w:br/>
        <w:t xml:space="preserve">или может произойти нарушение каких-либо положений пунктов 14.1 – 14.3 Антикоррупционной оговорки, указанная Сторона обязуется уведомить другую </w:t>
      </w:r>
      <w:r>
        <w:rPr>
          <w:rFonts w:ascii="Times New Roman" w:hAnsi="Times New Roman"/>
          <w:sz w:val="24"/>
          <w:szCs w:val="24"/>
          <w:lang w:eastAsia="ar-SA"/>
        </w:rPr>
        <w:t xml:space="preserve">Сторону </w:t>
      </w:r>
      <w:r>
        <w:rPr>
          <w:rFonts w:ascii="Times New Roman" w:hAnsi="Times New Roman"/>
          <w:sz w:val="24"/>
          <w:szCs w:val="24"/>
          <w:lang w:eastAsia="ar-SA"/>
        </w:rPr>
        <w:br/>
        <w:t xml:space="preserve">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w:t>
      </w:r>
      <w:r>
        <w:rPr>
          <w:rFonts w:ascii="Times New Roman" w:hAnsi="Times New Roman"/>
          <w:sz w:val="24"/>
          <w:szCs w:val="24"/>
          <w:lang w:eastAsia="ar-SA"/>
        </w:rPr>
        <w:br/>
        <w:t xml:space="preserve">или не произойдет. Это подтверждение должно быть направлено в течение десяти рабочих дн</w:t>
      </w:r>
      <w:r>
        <w:rPr>
          <w:rFonts w:ascii="Times New Roman" w:hAnsi="Times New Roman"/>
          <w:sz w:val="24"/>
          <w:szCs w:val="24"/>
          <w:lang w:eastAsia="ar-SA"/>
        </w:rPr>
        <w:t xml:space="preserve">ей с даты направления письменного уведомления.</w:t>
      </w:r>
      <w:r>
        <w:rPr>
          <w:rFonts w:ascii="Times New Roman" w:hAnsi="Times New Roman"/>
          <w:sz w:val="24"/>
          <w:szCs w:val="24"/>
          <w:lang w:eastAsia="ar-SA"/>
        </w:rPr>
      </w:r>
      <w:r>
        <w:rPr>
          <w:rFonts w:ascii="Times New Roman" w:hAnsi="Times New Roman"/>
          <w:sz w:val="24"/>
          <w:szCs w:val="24"/>
          <w:lang w:eastAsia="ar-SA"/>
        </w:rPr>
      </w:r>
    </w:p>
    <w:p>
      <w:pPr>
        <w:ind w:firstLine="710"/>
        <w:jc w:val="both"/>
        <w:tabs>
          <w:tab w:val="num" w:pos="0" w:leader="none"/>
        </w:tabs>
        <w:rPr>
          <w:lang w:eastAsia="ar-SA"/>
        </w:rPr>
      </w:pPr>
      <w:r>
        <w:rPr>
          <w:lang w:eastAsia="ar-SA"/>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w:t>
      </w:r>
      <w:r>
        <w:rPr>
          <w:lang w:eastAsia="ar-SA"/>
        </w:rPr>
        <w:br/>
        <w:t xml:space="preserve">что произошло или может произойти нарушение каких-либо по</w:t>
      </w:r>
      <w:r>
        <w:rPr>
          <w:lang w:eastAsia="ar-SA"/>
        </w:rPr>
        <w:t xml:space="preserve">ложений пунктов 14.1, 14.2 Антикоррупционной оговорки любой из Сторон, аффилированными лицами, работниками или посредниками.</w:t>
      </w:r>
      <w:r>
        <w:rPr>
          <w:lang w:eastAsia="ar-SA"/>
        </w:rPr>
      </w:r>
      <w:r>
        <w:rPr>
          <w:lang w:eastAsia="ar-SA"/>
        </w:rPr>
      </w:r>
    </w:p>
    <w:p>
      <w:pPr>
        <w:pStyle w:val="1761"/>
        <w:numPr>
          <w:ilvl w:val="1"/>
          <w:numId w:val="27"/>
        </w:numPr>
        <w:ind w:left="0" w:firstLine="710"/>
        <w:jc w:val="both"/>
        <w:spacing w:after="0" w:line="240" w:lineRule="auto"/>
        <w:rPr>
          <w:rFonts w:ascii="Times New Roman" w:hAnsi="Times New Roman"/>
          <w:sz w:val="24"/>
          <w:szCs w:val="24"/>
          <w:lang w:eastAsia="ar-SA"/>
        </w:rPr>
      </w:pPr>
      <w:r>
        <w:rPr>
          <w:rFonts w:ascii="Times New Roman" w:hAnsi="Times New Roman"/>
          <w:sz w:val="24"/>
          <w:szCs w:val="24"/>
          <w:lang w:eastAsia="ar-SA"/>
        </w:rPr>
        <w:t xml:space="preserve">В случае нарушения одной из Сторон обязательств по соблюдению требований Антикоррупционной политики, предусмотренных пунктами 14.1,</w:t>
      </w:r>
      <w:r>
        <w:rPr>
          <w:rFonts w:ascii="Times New Roman" w:hAnsi="Times New Roman"/>
          <w:sz w:val="24"/>
          <w:szCs w:val="24"/>
          <w:lang w:eastAsia="ar-SA"/>
        </w:rPr>
        <w:t xml:space="preserve"> 14.2 Антикоррупционной оговорки, и обязательств воздерживаться от запрещенных в пункте 14.3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w:t>
      </w:r>
      <w:r>
        <w:rPr>
          <w:rFonts w:ascii="Times New Roman" w:hAnsi="Times New Roman"/>
          <w:sz w:val="24"/>
          <w:szCs w:val="24"/>
          <w:lang w:eastAsia="ar-SA"/>
        </w:rPr>
        <w:t xml:space="preserve">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w:t>
      </w:r>
      <w:r>
        <w:rPr>
          <w:rFonts w:ascii="Times New Roman" w:hAnsi="Times New Roman"/>
          <w:sz w:val="24"/>
          <w:szCs w:val="24"/>
          <w:lang w:eastAsia="ar-SA"/>
        </w:rPr>
        <w:t xml:space="preserve">возмещения реального ущерба, возникшего в результате такого расторжения.</w:t>
      </w:r>
      <w:r>
        <w:rPr>
          <w:rFonts w:ascii="Times New Roman" w:hAnsi="Times New Roman"/>
          <w:sz w:val="24"/>
          <w:szCs w:val="24"/>
          <w:lang w:eastAsia="ar-SA"/>
        </w:rPr>
      </w:r>
      <w:r>
        <w:rPr>
          <w:rFonts w:ascii="Times New Roman" w:hAnsi="Times New Roman"/>
          <w:sz w:val="24"/>
          <w:szCs w:val="24"/>
          <w:lang w:eastAsia="ar-SA"/>
        </w:rPr>
      </w:r>
    </w:p>
    <w:p>
      <w:pPr>
        <w:pStyle w:val="1761"/>
        <w:ind w:left="710"/>
        <w:jc w:val="both"/>
        <w:spacing w:after="0" w:line="240" w:lineRule="auto"/>
        <w:rPr>
          <w:rFonts w:ascii="Times New Roman" w:hAnsi="Times New Roman"/>
          <w:sz w:val="24"/>
          <w:szCs w:val="24"/>
          <w:lang w:eastAsia="ar-SA"/>
        </w:rPr>
      </w:pPr>
      <w:r>
        <w:rPr>
          <w:rFonts w:ascii="Times New Roman" w:hAnsi="Times New Roman"/>
          <w:sz w:val="24"/>
          <w:szCs w:val="24"/>
          <w:lang w:eastAsia="ar-SA"/>
        </w:rPr>
      </w:r>
      <w:r>
        <w:rPr>
          <w:rFonts w:ascii="Times New Roman" w:hAnsi="Times New Roman"/>
          <w:sz w:val="24"/>
          <w:szCs w:val="24"/>
          <w:lang w:eastAsia="ar-SA"/>
        </w:rPr>
      </w:r>
      <w:r>
        <w:rPr>
          <w:rFonts w:ascii="Times New Roman" w:hAnsi="Times New Roman"/>
          <w:sz w:val="24"/>
          <w:szCs w:val="24"/>
          <w:lang w:eastAsia="ar-SA"/>
        </w:rPr>
      </w:r>
    </w:p>
    <w:p>
      <w:pPr>
        <w:ind w:firstLine="709"/>
        <w:jc w:val="both"/>
        <w:rPr>
          <w:lang w:eastAsia="ar-SA"/>
        </w:rPr>
      </w:pPr>
      <w:r>
        <w:rPr>
          <w:lang w:eastAsia="ar-SA"/>
        </w:rPr>
        <w:t xml:space="preserve">(Вариант 2)</w:t>
      </w:r>
      <w:r>
        <w:rPr>
          <w:vertAlign w:val="superscript"/>
          <w:lang w:eastAsia="ar-SA"/>
        </w:rPr>
        <w:footnoteReference w:id="41"/>
      </w:r>
      <w:r>
        <w:rPr>
          <w:lang w:eastAsia="ar-SA"/>
        </w:rPr>
        <w:t xml:space="preserve"> 14.1. Сторонам известно о том, что они реализуют требования статьи 13.3 Федерального закона от 25.12.2008 № 273-ФЗ «О противодействии коррупции», принимают меры по преду</w:t>
      </w:r>
      <w:r>
        <w:rPr>
          <w:lang w:eastAsia="ar-SA"/>
        </w:rPr>
        <w:t xml:space="preserve">преждению коррупции, присоединились к Антикоррупционной хартии российского бизнеса (свидетельство от 01.06.2015 № 2023), включены в Реестр надежных партнеров, ведут антикоррупционную политику и развивают не допускающую коррупционных проявлений культуру, по</w:t>
      </w:r>
      <w:r>
        <w:rPr>
          <w:lang w:eastAsia="ar-SA"/>
        </w:rPr>
        <w:t xml:space="preserve">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r>
        <w:rPr>
          <w:lang w:eastAsia="ar-SA"/>
        </w:rPr>
      </w:r>
      <w:r>
        <w:rPr>
          <w:lang w:eastAsia="ar-SA"/>
        </w:rPr>
      </w:r>
    </w:p>
    <w:p>
      <w:pPr>
        <w:ind w:firstLine="709"/>
        <w:jc w:val="both"/>
        <w:rPr>
          <w:lang w:eastAsia="ar-SA"/>
        </w:rPr>
      </w:pPr>
      <w:r>
        <w:rPr>
          <w:lang w:eastAsia="ar-SA"/>
        </w:rPr>
        <w:t xml:space="preserve">14.2. Стороны настоящим подтверждают, что они ознакомились с Антикоррупционной хартией российског</w:t>
      </w:r>
      <w:r>
        <w:rPr>
          <w:lang w:eastAsia="ar-SA"/>
        </w:rPr>
        <w:t xml:space="preserve">о бизнеса и Антикоррупционной политикой ПАО «</w:t>
      </w:r>
      <w:r>
        <w:rPr>
          <w:lang w:eastAsia="ar-SA"/>
        </w:rPr>
        <w:t xml:space="preserve">Россети</w:t>
      </w:r>
      <w:r>
        <w:rPr>
          <w:lang w:eastAsia="ar-SA"/>
        </w:rPr>
        <w:t xml:space="preserve"> Ленэнерго» (представленной в разделе «Антикоррупционная политика» на официальном сайте ПАО «</w:t>
      </w:r>
      <w:r>
        <w:rPr>
          <w:lang w:eastAsia="ar-SA"/>
        </w:rPr>
        <w:t xml:space="preserve">Россети</w:t>
      </w:r>
      <w:r>
        <w:rPr>
          <w:lang w:eastAsia="ar-SA"/>
        </w:rPr>
        <w:t xml:space="preserve"> Ленэнерго» по адресу: https://rosseti-lenenergo.ru/about/corruption/), полностью принимают положения Ан</w:t>
      </w:r>
      <w:r>
        <w:rPr>
          <w:lang w:eastAsia="ar-SA"/>
        </w:rPr>
        <w:t xml:space="preserve">тикоррупционной политики ПАО «</w:t>
      </w:r>
      <w:r>
        <w:rPr>
          <w:lang w:eastAsia="ar-SA"/>
        </w:rPr>
        <w:t xml:space="preserve">Россети</w:t>
      </w:r>
      <w:r>
        <w:rPr>
          <w:lang w:eastAsia="ar-SA"/>
        </w:rPr>
        <w:t xml:space="preserve"> Ленэнерго»  и обязуются обеспечивать соблюдение ее требований как со своей стороны, так и со стороны аффилированных с ними физических </w:t>
      </w:r>
      <w:r>
        <w:rPr>
          <w:lang w:eastAsia="ar-SA"/>
        </w:rPr>
        <w:br/>
        <w:t xml:space="preserve">и юридических лиц, действующих по настоящему Договору, включая собственников, должн</w:t>
      </w:r>
      <w:r>
        <w:rPr>
          <w:lang w:eastAsia="ar-SA"/>
        </w:rPr>
        <w:t xml:space="preserve">остных лиц, работников и/или посредников.</w:t>
      </w:r>
      <w:r>
        <w:rPr>
          <w:lang w:eastAsia="ar-SA"/>
        </w:rPr>
      </w:r>
      <w:r>
        <w:rPr>
          <w:lang w:eastAsia="ar-SA"/>
        </w:rPr>
      </w:r>
    </w:p>
    <w:p>
      <w:pPr>
        <w:ind w:firstLine="709"/>
        <w:jc w:val="both"/>
        <w:spacing w:line="276" w:lineRule="auto"/>
        <w:tabs>
          <w:tab w:val="left" w:pos="1276" w:leader="none"/>
        </w:tabs>
        <w:rPr>
          <w:lang w:eastAsia="ar-SA"/>
        </w:rPr>
      </w:pPr>
      <w:r>
        <w:rPr>
          <w:lang w:eastAsia="ar-SA"/>
        </w:rPr>
        <w:t xml:space="preserve">14.3.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w:t>
      </w:r>
      <w:r>
        <w:rPr>
          <w:lang w:eastAsia="ar-SA"/>
        </w:rPr>
        <w:t xml:space="preserve">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r>
        <w:rPr>
          <w:lang w:eastAsia="ar-SA"/>
        </w:rPr>
      </w:r>
      <w:r>
        <w:rPr>
          <w:lang w:eastAsia="ar-SA"/>
        </w:rPr>
      </w:r>
    </w:p>
    <w:p>
      <w:pPr>
        <w:ind w:firstLine="709"/>
        <w:jc w:val="both"/>
        <w:spacing w:line="276" w:lineRule="auto"/>
        <w:tabs>
          <w:tab w:val="left" w:pos="1276" w:leader="none"/>
        </w:tabs>
        <w:rPr>
          <w:lang w:eastAsia="ar-SA"/>
        </w:rPr>
      </w:pPr>
      <w:r>
        <w:rPr>
          <w:lang w:eastAsia="ar-SA"/>
        </w:rPr>
        <w:t xml:space="preserve">Стороны отказываются от стимулирования каким-либо образом работн</w:t>
      </w:r>
      <w:r>
        <w:rPr>
          <w:lang w:eastAsia="ar-SA"/>
        </w:rPr>
        <w:t xml:space="preserve">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w:t>
      </w:r>
      <w:r>
        <w:rPr>
          <w:lang w:eastAsia="ar-SA"/>
        </w:rPr>
        <w:t xml:space="preserve">выполнения этим работником каких-либо действий в пользу стимулирующей его стороны (ПАО «</w:t>
      </w:r>
      <w:r>
        <w:rPr>
          <w:lang w:eastAsia="ar-SA"/>
        </w:rPr>
        <w:t xml:space="preserve">Россети</w:t>
      </w:r>
      <w:r>
        <w:rPr>
          <w:lang w:eastAsia="ar-SA"/>
        </w:rPr>
        <w:t xml:space="preserve"> Ленэнерго» или Подрядчика).</w:t>
      </w:r>
      <w:r>
        <w:rPr>
          <w:lang w:eastAsia="ar-SA"/>
        </w:rPr>
      </w:r>
      <w:r>
        <w:rPr>
          <w:lang w:eastAsia="ar-SA"/>
        </w:rPr>
      </w:r>
    </w:p>
    <w:p>
      <w:pPr>
        <w:ind w:firstLine="709"/>
        <w:jc w:val="both"/>
        <w:spacing w:line="276" w:lineRule="auto"/>
        <w:tabs>
          <w:tab w:val="left" w:pos="1276" w:leader="none"/>
        </w:tabs>
        <w:rPr>
          <w:lang w:eastAsia="ar-SA"/>
        </w:rPr>
      </w:pPr>
      <w:r>
        <w:rPr>
          <w:lang w:eastAsia="ar-SA"/>
        </w:rPr>
        <w:t xml:space="preserve">14.4. В случае возникновения у одной из Сторон подозрений, что произошло или может произойти нарушение каких-либо положений пунктов 14.1. - 14.3. настоящего Договора, указанная Сторона обязуется уведомить другую Сторону в письменной форме. После письменног</w:t>
      </w:r>
      <w:r>
        <w:rPr>
          <w:lang w:eastAsia="ar-SA"/>
        </w:rPr>
        <w:t xml:space="preserve">о уведомления Сторона имеет право приостановить исполнение настоящего Договора до получения подтверждения, что нарушения не произошло </w:t>
      </w:r>
      <w:r>
        <w:rPr>
          <w:lang w:eastAsia="ar-SA"/>
        </w:rPr>
        <w:br/>
        <w:t xml:space="preserve">или не произойдет. Это подтверждение должно быть направлено в течение</w:t>
      </w:r>
      <w:r>
        <w:rPr>
          <w:lang w:eastAsia="ar-SA"/>
        </w:rPr>
        <w:br/>
        <w:t xml:space="preserve">10 (десяти) рабочих дней с даты направления письмен</w:t>
      </w:r>
      <w:r>
        <w:rPr>
          <w:lang w:eastAsia="ar-SA"/>
        </w:rPr>
        <w:t xml:space="preserve">ного уведомления.</w:t>
      </w:r>
      <w:r>
        <w:rPr>
          <w:lang w:eastAsia="ar-SA"/>
        </w:rPr>
      </w:r>
      <w:r>
        <w:rPr>
          <w:lang w:eastAsia="ar-SA"/>
        </w:rPr>
      </w:r>
    </w:p>
    <w:p>
      <w:pPr>
        <w:ind w:firstLine="709"/>
        <w:jc w:val="both"/>
        <w:rPr>
          <w:lang w:eastAsia="ar-SA"/>
        </w:rPr>
      </w:pPr>
      <w:r>
        <w:rPr>
          <w:lang w:eastAsia="ar-SA"/>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14.1, 14.2 нас</w:t>
      </w:r>
      <w:r>
        <w:rPr>
          <w:lang w:eastAsia="ar-SA"/>
        </w:rPr>
        <w:t xml:space="preserve">тоящего Договора любой из Сторон, аффилированными лицами, работниками или посредниками.</w:t>
      </w:r>
      <w:r>
        <w:rPr>
          <w:lang w:eastAsia="ar-SA"/>
        </w:rPr>
      </w:r>
      <w:r>
        <w:rPr>
          <w:lang w:eastAsia="ar-SA"/>
        </w:rPr>
      </w:r>
    </w:p>
    <w:p>
      <w:pPr>
        <w:ind w:firstLine="540"/>
        <w:jc w:val="both"/>
        <w:rPr>
          <w:color w:val="000000" w:themeColor="text1"/>
          <w:lang w:eastAsia="ar-SA"/>
        </w:rPr>
      </w:pPr>
      <w:r>
        <w:rPr>
          <w:lang w:eastAsia="ar-SA"/>
        </w:rPr>
        <w:t xml:space="preserve">14.5.  В случае нарушения одной из Сторон обязательств по соблюдению требований, предусмотренных пунктами 14.1., 14.2. настоящего Договора, и обязательств воздерживатьс</w:t>
      </w:r>
      <w:r>
        <w:rPr>
          <w:lang w:eastAsia="ar-SA"/>
        </w:rPr>
        <w:t xml:space="preserve">я от запрещенных в пункте 14.3.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ПАО «</w:t>
      </w:r>
      <w:r>
        <w:rPr>
          <w:lang w:eastAsia="ar-SA"/>
        </w:rPr>
        <w:t xml:space="preserve">Россети</w:t>
      </w:r>
      <w:r>
        <w:rPr>
          <w:lang w:eastAsia="ar-SA"/>
        </w:rPr>
        <w:t xml:space="preserve"> Ленэнерго» имеет право расторгнуть настоящий Договор</w:t>
      </w:r>
      <w:r>
        <w:rPr>
          <w:lang w:eastAsia="ar-SA"/>
        </w:rPr>
        <w:t xml:space="preserve">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w:t>
      </w:r>
      <w:r>
        <w:rPr>
          <w:lang w:eastAsia="ar-SA"/>
        </w:rPr>
        <w:t xml:space="preserve">шего в результате такого расторжения.</w:t>
      </w:r>
      <w:r>
        <w:rPr>
          <w:color w:val="000000" w:themeColor="text1"/>
          <w:lang w:eastAsia="ar-SA"/>
        </w:rPr>
      </w:r>
      <w:r>
        <w:rPr>
          <w:color w:val="000000" w:themeColor="text1"/>
          <w:lang w:eastAsia="ar-SA"/>
        </w:rPr>
      </w:r>
    </w:p>
    <w:p>
      <w:pPr>
        <w:ind w:firstLine="851"/>
        <w:jc w:val="both"/>
        <w:rPr>
          <w:color w:val="000000"/>
        </w:rPr>
      </w:pPr>
      <w:r>
        <w:rPr>
          <w:color w:val="000000"/>
        </w:rPr>
      </w:r>
      <w:r>
        <w:rPr>
          <w:color w:val="000000"/>
        </w:rPr>
      </w:r>
      <w:r>
        <w:rPr>
          <w:color w:val="000000"/>
        </w:rPr>
      </w:r>
    </w:p>
    <w:p>
      <w:pPr>
        <w:pStyle w:val="1761"/>
        <w:numPr>
          <w:ilvl w:val="0"/>
          <w:numId w:val="27"/>
        </w:numPr>
        <w:ind w:left="0"/>
        <w:jc w:val="center"/>
        <w:spacing w:after="0" w:line="240" w:lineRule="auto"/>
        <w:rPr>
          <w:rFonts w:ascii="Times New Roman" w:hAnsi="Times New Roman"/>
          <w:b/>
          <w:bCs/>
          <w:color w:val="000000"/>
          <w:sz w:val="24"/>
          <w:szCs w:val="24"/>
          <w:lang w:eastAsia="ar-SA"/>
        </w:rPr>
      </w:pPr>
      <w:r>
        <w:rPr>
          <w:rFonts w:ascii="Times New Roman" w:hAnsi="Times New Roman"/>
          <w:b/>
          <w:bCs/>
          <w:color w:val="000000"/>
          <w:sz w:val="24"/>
          <w:szCs w:val="24"/>
          <w:lang w:eastAsia="ar-SA"/>
        </w:rPr>
        <w:t xml:space="preserve"> Соблюдение требований охраны труда</w:t>
      </w:r>
      <w:r>
        <w:rPr>
          <w:rFonts w:ascii="Times New Roman" w:hAnsi="Times New Roman"/>
          <w:b/>
          <w:bCs/>
          <w:color w:val="000000"/>
          <w:sz w:val="24"/>
          <w:szCs w:val="24"/>
          <w:lang w:eastAsia="ar-SA"/>
        </w:rPr>
      </w:r>
      <w:r>
        <w:rPr>
          <w:rFonts w:ascii="Times New Roman" w:hAnsi="Times New Roman"/>
          <w:b/>
          <w:bCs/>
          <w:color w:val="000000"/>
          <w:sz w:val="24"/>
          <w:szCs w:val="24"/>
          <w:lang w:eastAsia="ar-SA"/>
        </w:rPr>
      </w:r>
    </w:p>
    <w:p>
      <w:pPr>
        <w:ind w:firstLine="709"/>
        <w:jc w:val="both"/>
        <w:shd w:val="clear" w:color="auto" w:fill="ffffff"/>
        <w:widowControl w:val="off"/>
        <w:tabs>
          <w:tab w:val="left" w:pos="5465" w:leader="none"/>
        </w:tabs>
        <w:rPr>
          <w:bCs/>
        </w:rPr>
      </w:pPr>
      <w:r>
        <w:rPr>
          <w:bCs/>
        </w:rPr>
        <w:t xml:space="preserve">15.1. Во исполнение установленных требований по охране труда Подрядчик принимает следующие обязательства:</w:t>
      </w:r>
      <w:r>
        <w:rPr>
          <w:bCs/>
        </w:rPr>
      </w:r>
      <w:r>
        <w:rPr>
          <w:bCs/>
        </w:rPr>
      </w:r>
    </w:p>
    <w:p>
      <w:pPr>
        <w:ind w:firstLine="709"/>
        <w:jc w:val="both"/>
        <w:shd w:val="clear" w:color="auto" w:fill="ffffff"/>
        <w:widowControl w:val="off"/>
        <w:tabs>
          <w:tab w:val="left" w:pos="5465" w:leader="none"/>
        </w:tabs>
        <w:rPr>
          <w:bCs/>
        </w:rPr>
      </w:pPr>
      <w:r>
        <w:rPr>
          <w:bCs/>
        </w:rPr>
        <w:t xml:space="preserve">- обеспечить обучение и аттестацию работ</w:t>
      </w:r>
      <w:r>
        <w:rPr>
          <w:bCs/>
        </w:rPr>
        <w:t xml:space="preserve">ников в специализированных организациях, имеющих лицензию на поведение обучения в области охраны труда и других, необходимых по технологии работ специальных правил;</w:t>
      </w:r>
      <w:r>
        <w:rPr>
          <w:bCs/>
        </w:rPr>
      </w:r>
      <w:r>
        <w:rPr>
          <w:bCs/>
        </w:rPr>
      </w:r>
    </w:p>
    <w:p>
      <w:pPr>
        <w:ind w:firstLine="709"/>
        <w:jc w:val="both"/>
        <w:shd w:val="clear" w:color="auto" w:fill="ffffff"/>
        <w:widowControl w:val="off"/>
        <w:tabs>
          <w:tab w:val="left" w:pos="5465" w:leader="none"/>
        </w:tabs>
        <w:rPr>
          <w:bCs/>
        </w:rPr>
      </w:pPr>
      <w:r>
        <w:rPr>
          <w:bCs/>
        </w:rPr>
        <w:t xml:space="preserve">- в соответствии со Стандартом ISO 45001:2018 «Система менеджмента охраны здоровья и безопа</w:t>
      </w:r>
      <w:r>
        <w:rPr>
          <w:bCs/>
        </w:rPr>
        <w:t xml:space="preserve">сности труда. Требования и рекомендации по применению»;</w:t>
      </w:r>
      <w:r>
        <w:rPr>
          <w:bCs/>
        </w:rPr>
      </w:r>
      <w:r>
        <w:rPr>
          <w:bCs/>
        </w:rPr>
      </w:r>
    </w:p>
    <w:p>
      <w:pPr>
        <w:ind w:firstLine="709"/>
        <w:jc w:val="both"/>
        <w:shd w:val="clear" w:color="auto" w:fill="ffffff"/>
        <w:widowControl w:val="off"/>
        <w:tabs>
          <w:tab w:val="left" w:pos="5465" w:leader="none"/>
        </w:tabs>
        <w:rPr>
          <w:bCs/>
        </w:rPr>
      </w:pPr>
      <w:r>
        <w:rPr>
          <w:bCs/>
        </w:rPr>
      </w:r>
      <w:r>
        <w:rPr>
          <w:bCs/>
          <w:sz w:val="24"/>
          <w:szCs w:val="24"/>
          <w:highlight w:val="yellow"/>
        </w:rPr>
        <w:t xml:space="preserve">- </w:t>
      </w:r>
      <w:r>
        <w:rPr>
          <w:rFonts w:ascii="Times New Roman" w:hAnsi="Times New Roman" w:cs="Times New Roman"/>
          <w:bCs/>
          <w:sz w:val="24"/>
          <w:szCs w:val="24"/>
          <w:highlight w:val="yellow"/>
        </w:rPr>
        <w:t xml:space="preserve">в соответствии с ПР-28.02-006 «</w:t>
      </w:r>
      <w:r>
        <w:rPr>
          <w:rFonts w:ascii="Times New Roman" w:hAnsi="Times New Roman" w:cs="Times New Roman"/>
          <w:bCs/>
          <w:sz w:val="24"/>
          <w:szCs w:val="24"/>
          <w:highlight w:val="yellow"/>
        </w:rPr>
        <w:t xml:space="preserve">Порядком</w:t>
      </w:r>
      <w:r>
        <w:rPr>
          <w:rFonts w:ascii="Times New Roman" w:hAnsi="Times New Roman" w:cs="Times New Roman"/>
          <w:bCs/>
          <w:sz w:val="24"/>
          <w:szCs w:val="24"/>
          <w:highlight w:val="yellow"/>
        </w:rPr>
        <w:t xml:space="preserve"> взаимодействия </w:t>
      </w:r>
      <w:r>
        <w:rPr>
          <w:rFonts w:ascii="Times New Roman" w:hAnsi="Times New Roman" w:cs="Times New Roman"/>
          <w:bCs/>
          <w:sz w:val="24"/>
          <w:szCs w:val="24"/>
          <w:highlight w:val="yellow"/>
        </w:rPr>
        <w:br/>
      </w:r>
      <w:r>
        <w:rPr>
          <w:rFonts w:ascii="Times New Roman" w:hAnsi="Times New Roman" w:cs="Times New Roman"/>
          <w:bCs/>
          <w:sz w:val="24"/>
          <w:szCs w:val="24"/>
          <w:highlight w:val="yellow"/>
        </w:rPr>
        <w:t xml:space="preserve">с подрядными организациями и командированным персоналом при производстве работ на объектах ПАО «Россети Ленэнерго» (утв. приказом от 30.06.2025 №355)</w:t>
      </w:r>
      <w:r>
        <w:rPr>
          <w:rFonts w:ascii="Times New Roman" w:hAnsi="Times New Roman" w:cs="Times New Roman"/>
          <w:bCs/>
          <w:sz w:val="24"/>
          <w:szCs w:val="24"/>
          <w:highlight w:val="yellow"/>
        </w:rPr>
        <w:t xml:space="preserve"> </w:t>
      </w:r>
      <w:r>
        <w:rPr>
          <w:rFonts w:ascii="Times New Roman" w:hAnsi="Times New Roman" w:cs="Times New Roman"/>
          <w:bCs/>
          <w:sz w:val="24"/>
          <w:szCs w:val="24"/>
          <w:highlight w:val="yellow"/>
        </w:rPr>
        <w:t xml:space="preserve">до начала выполнения работ предоставить необходимые документы и пройти инструктаж</w:t>
      </w:r>
      <w:r>
        <w:rPr>
          <w:rFonts w:ascii="Times New Roman" w:hAnsi="Times New Roman" w:cs="Times New Roman"/>
          <w:bCs/>
          <w:sz w:val="24"/>
          <w:szCs w:val="24"/>
          <w:highlight w:val="yellow"/>
        </w:rPr>
        <w:t xml:space="preserve"> (ПР -28.02-006 </w:t>
      </w:r>
      <w:r>
        <w:rPr>
          <w:rFonts w:ascii="Times New Roman" w:hAnsi="Times New Roman" w:cs="Times New Roman"/>
          <w:bCs/>
          <w:sz w:val="24"/>
          <w:szCs w:val="24"/>
          <w:highlight w:val="yellow"/>
        </w:rPr>
        <w:t xml:space="preserve">размещен на официальном сайте ПАО «Россети Ленэнерго» в сети интернет по адресу: </w:t>
      </w:r>
      <w:hyperlink r:id="rId19" w:tooltip="https://rosseti-lenenergo.ru/about/osnovnay_deiatelnost/vzaimodeystvie-so-storonnimi-organizatsiyami/" w:history="1">
        <w:r>
          <w:rPr>
            <w:rStyle w:val="1787"/>
            <w:sz w:val="24"/>
            <w:szCs w:val="24"/>
            <w:highlight w:val="yellow"/>
          </w:rPr>
          <w:t xml:space="preserve">https://rosseti-lenenergo.ru/about/osnovnay_deiatelnost/vzaimodeystvie-so-storonnimi-organizatsiyami/</w:t>
        </w:r>
      </w:hyperlink>
      <w:r>
        <w:rPr>
          <w:sz w:val="24"/>
          <w:szCs w:val="24"/>
          <w:highlight w:val="yellow"/>
        </w:rPr>
        <w:t xml:space="preserve"> </w:t>
      </w:r>
      <w:r>
        <w:rPr>
          <w:rFonts w:ascii="Times New Roman" w:hAnsi="Times New Roman" w:cs="Times New Roman"/>
          <w:bCs/>
          <w:sz w:val="24"/>
          <w:szCs w:val="24"/>
          <w:highlight w:val="yellow"/>
        </w:rPr>
        <w:t xml:space="preserve">)</w:t>
      </w:r>
      <w:r>
        <w:rPr>
          <w:bCs/>
          <w:sz w:val="24"/>
          <w:szCs w:val="24"/>
          <w:highlight w:val="yellow"/>
        </w:rPr>
        <w:t xml:space="preserve">;</w:t>
      </w:r>
      <w:r>
        <w:rPr>
          <w:bCs/>
        </w:rPr>
      </w:r>
      <w:r>
        <w:rPr>
          <w:bCs/>
        </w:rPr>
      </w:r>
    </w:p>
    <w:p>
      <w:pPr>
        <w:ind w:firstLine="709"/>
        <w:jc w:val="both"/>
        <w:shd w:val="clear" w:color="auto" w:fill="ffffff"/>
        <w:widowControl w:val="off"/>
        <w:tabs>
          <w:tab w:val="left" w:pos="5465" w:leader="none"/>
        </w:tabs>
        <w:rPr>
          <w:bCs/>
        </w:rPr>
      </w:pPr>
      <w:r>
        <w:rPr>
          <w:bCs/>
        </w:rPr>
        <w:t xml:space="preserve">- обеспечить работников средствами индивидуальной и коллективной защиты </w:t>
      </w:r>
      <w:r>
        <w:rPr>
          <w:bCs/>
        </w:rPr>
        <w:br/>
        <w:t xml:space="preserve">в соответствии с установленными нормами;</w:t>
      </w:r>
      <w:r>
        <w:rPr>
          <w:bCs/>
        </w:rPr>
      </w:r>
      <w:r>
        <w:rPr>
          <w:bCs/>
        </w:rPr>
      </w:r>
    </w:p>
    <w:p>
      <w:pPr>
        <w:ind w:firstLine="709"/>
        <w:jc w:val="both"/>
        <w:shd w:val="clear" w:color="auto" w:fill="ffffff"/>
        <w:widowControl w:val="off"/>
        <w:tabs>
          <w:tab w:val="left" w:pos="5465" w:leader="none"/>
        </w:tabs>
        <w:rPr>
          <w:bCs/>
        </w:rPr>
      </w:pPr>
      <w:r>
        <w:rPr>
          <w:bCs/>
        </w:rPr>
        <w:t xml:space="preserve">- проводить необходимые противопожарные мероприятия и мероприятия по о</w:t>
      </w:r>
      <w:r>
        <w:rPr>
          <w:bCs/>
        </w:rPr>
        <w:t xml:space="preserve">хране труда;</w:t>
      </w:r>
      <w:r>
        <w:rPr>
          <w:bCs/>
        </w:rPr>
      </w:r>
      <w:r>
        <w:rPr>
          <w:bCs/>
        </w:rPr>
      </w:r>
    </w:p>
    <w:p>
      <w:pPr>
        <w:ind w:firstLine="709"/>
        <w:jc w:val="both"/>
        <w:shd w:val="clear" w:color="auto" w:fill="ffffff"/>
        <w:widowControl w:val="off"/>
        <w:tabs>
          <w:tab w:val="left" w:pos="5465" w:leader="none"/>
        </w:tabs>
        <w:rPr>
          <w:bCs/>
        </w:rPr>
      </w:pPr>
      <w:r>
        <w:rPr>
          <w:bCs/>
        </w:rPr>
        <w:t xml:space="preserve">- не допускать к работе/отстранять от работы работников, появившихся </w:t>
      </w:r>
      <w:r>
        <w:rPr>
          <w:bCs/>
        </w:rPr>
        <w:br/>
        <w:t xml:space="preserve">на строительной площадке (на Объекте) в состоянии алкогольного/наркотического/ токсического опьянения, а также нарушающих иные требования норм и правил по охране труда;</w:t>
      </w:r>
      <w:r>
        <w:rPr>
          <w:bCs/>
        </w:rPr>
      </w:r>
      <w:r>
        <w:rPr>
          <w:bCs/>
        </w:rPr>
      </w:r>
    </w:p>
    <w:p>
      <w:pPr>
        <w:ind w:firstLine="709"/>
        <w:jc w:val="both"/>
        <w:shd w:val="clear" w:color="auto" w:fill="ffffff"/>
        <w:widowControl w:val="off"/>
        <w:tabs>
          <w:tab w:val="left" w:pos="5465" w:leader="none"/>
        </w:tabs>
        <w:rPr>
          <w:bCs/>
        </w:rPr>
      </w:pPr>
      <w:r>
        <w:rPr>
          <w:bCs/>
        </w:rPr>
        <w:t xml:space="preserve">- по</w:t>
      </w:r>
      <w:r>
        <w:rPr>
          <w:bCs/>
        </w:rPr>
        <w:t xml:space="preserve"> окончании выполнения работ производить уборку строительной площадки (площадки производства работ);</w:t>
      </w:r>
      <w:r>
        <w:rPr>
          <w:bCs/>
        </w:rPr>
      </w:r>
      <w:r>
        <w:rPr>
          <w:bCs/>
        </w:rPr>
      </w:r>
    </w:p>
    <w:p>
      <w:pPr>
        <w:ind w:firstLine="709"/>
        <w:jc w:val="both"/>
        <w:shd w:val="clear" w:color="auto" w:fill="ffffff"/>
        <w:widowControl w:val="off"/>
        <w:tabs>
          <w:tab w:val="left" w:pos="5465" w:leader="none"/>
        </w:tabs>
        <w:rPr>
          <w:bCs/>
        </w:rPr>
      </w:pPr>
      <w:r>
        <w:rPr>
          <w:bCs/>
        </w:rPr>
        <w:t xml:space="preserve">- информировать Заказчика о происшедших с работниками Подрядчика несчастных случаях, микротравмах, профессиональных заболеваний, технологических нарушениях,</w:t>
      </w:r>
      <w:r>
        <w:rPr>
          <w:bCs/>
        </w:rPr>
        <w:t xml:space="preserve"> авариях, чрезвычайных ситуациях, экологических нарушениях, опасных инцидентах </w:t>
      </w:r>
      <w:r>
        <w:rPr>
          <w:bCs/>
        </w:rPr>
        <w:br/>
        <w:t xml:space="preserve">с оборудованием/материалами; происшествиях, которые являются предпосылками </w:t>
      </w:r>
      <w:r>
        <w:rPr>
          <w:bCs/>
        </w:rPr>
        <w:br/>
        <w:t xml:space="preserve">к несчастным случаям не позднее одного рабочего дня, следующего за днем происшествия, </w:t>
      </w:r>
      <w:r>
        <w:rPr>
          <w:bCs/>
        </w:rPr>
        <w:br/>
        <w:t xml:space="preserve">а также не по</w:t>
      </w:r>
      <w:r>
        <w:rPr>
          <w:bCs/>
        </w:rPr>
        <w:t xml:space="preserve">зднее 30 (тридцати)  минут с момента происшествия по телефону _________ </w:t>
      </w:r>
      <w:r>
        <w:rPr>
          <w:bCs/>
        </w:rPr>
        <w:br/>
        <w:t xml:space="preserve">и электронной почте __________________ </w:t>
      </w:r>
      <w:r>
        <w:rPr>
          <w:bCs/>
          <w:i/>
        </w:rPr>
        <w:t xml:space="preserve">(указывается номер телефона, адрес электронной почты должностного лица Заказчика, курирующего проводимые работы)</w:t>
      </w:r>
      <w:r>
        <w:rPr>
          <w:bCs/>
        </w:rPr>
        <w:t xml:space="preserve">;</w:t>
      </w:r>
      <w:r>
        <w:rPr>
          <w:bCs/>
        </w:rPr>
      </w:r>
      <w:r>
        <w:rPr>
          <w:bCs/>
        </w:rPr>
      </w:r>
    </w:p>
    <w:p>
      <w:pPr>
        <w:ind w:firstLine="709"/>
        <w:jc w:val="both"/>
        <w:shd w:val="clear" w:color="auto" w:fill="ffffff"/>
        <w:widowControl w:val="off"/>
        <w:tabs>
          <w:tab w:val="left" w:pos="5465" w:leader="none"/>
        </w:tabs>
        <w:rPr>
          <w:bCs/>
        </w:rPr>
      </w:pPr>
      <w:r>
        <w:rPr>
          <w:bCs/>
        </w:rPr>
        <w:t xml:space="preserve">- использовать в процессе выпо</w:t>
      </w:r>
      <w:r>
        <w:rPr>
          <w:bCs/>
        </w:rPr>
        <w:t xml:space="preserve">лнения работ исправное оборудование, инструмент </w:t>
      </w:r>
      <w:r>
        <w:rPr>
          <w:bCs/>
        </w:rPr>
        <w:br/>
        <w:t xml:space="preserve">и материалы, отвечающим требованиям, определенным Федеральным законом от 27.12.2002 № 184-ФЗ «О техническом регулировании» и другим нормам;</w:t>
      </w:r>
      <w:r>
        <w:rPr>
          <w:bCs/>
        </w:rPr>
      </w:r>
      <w:r>
        <w:rPr>
          <w:bCs/>
        </w:rPr>
      </w:r>
    </w:p>
    <w:p>
      <w:pPr>
        <w:ind w:firstLine="709"/>
        <w:jc w:val="both"/>
        <w:shd w:val="clear" w:color="auto" w:fill="ffffff"/>
        <w:widowControl w:val="off"/>
        <w:tabs>
          <w:tab w:val="left" w:pos="5465" w:leader="none"/>
        </w:tabs>
        <w:rPr>
          <w:bCs/>
        </w:rPr>
      </w:pPr>
      <w:r>
        <w:rPr>
          <w:bCs/>
        </w:rPr>
        <w:t xml:space="preserve">- обеспечивать привлекаемыми субподрядными организациями соблюдение</w:t>
      </w:r>
      <w:r>
        <w:rPr>
          <w:bCs/>
        </w:rPr>
        <w:t xml:space="preserve"> правил безопасности при производстве огневых работ, пожароопасных или газоопасных работ.</w:t>
      </w:r>
      <w:r>
        <w:rPr>
          <w:bCs/>
        </w:rPr>
      </w:r>
      <w:r>
        <w:rPr>
          <w:bCs/>
        </w:rPr>
      </w:r>
    </w:p>
    <w:p>
      <w:pPr>
        <w:ind w:firstLine="709"/>
        <w:jc w:val="both"/>
        <w:shd w:val="clear" w:color="auto" w:fill="ffffff"/>
        <w:widowControl w:val="off"/>
        <w:tabs>
          <w:tab w:val="left" w:pos="5465" w:leader="none"/>
        </w:tabs>
        <w:rPr>
          <w:bCs/>
        </w:rPr>
      </w:pPr>
      <w:r>
        <w:rPr>
          <w:bCs/>
        </w:rPr>
        <w:t xml:space="preserve">15.2.</w:t>
      </w:r>
      <w:r>
        <w:rPr>
          <w:bCs/>
          <w:i/>
        </w:rPr>
        <w:t xml:space="preserve"> </w:t>
      </w:r>
      <w:r>
        <w:rPr>
          <w:bCs/>
        </w:rPr>
        <w:t xml:space="preserve">Представителем Подрядчика, осуществляющим надзор и контроль </w:t>
      </w:r>
      <w:r>
        <w:rPr>
          <w:bCs/>
        </w:rPr>
        <w:br/>
        <w:t xml:space="preserve">за соблюдением соответствия требованиям охраны труда, промышленной безопасности </w:t>
      </w:r>
      <w:r>
        <w:rPr>
          <w:bCs/>
        </w:rPr>
        <w:br/>
        <w:t xml:space="preserve">и окружающей среды</w:t>
      </w:r>
      <w:r>
        <w:rPr>
          <w:bCs/>
        </w:rPr>
        <w:t xml:space="preserve"> при выполнении работ является ________________________ </w:t>
      </w:r>
      <w:r>
        <w:rPr>
          <w:bCs/>
          <w:i/>
        </w:rPr>
        <w:t xml:space="preserve">(указывается фамилия, имя, отчество, контактный телефон должностного лица)</w:t>
      </w:r>
      <w:r>
        <w:rPr>
          <w:bCs/>
        </w:rPr>
        <w:t xml:space="preserve">.</w:t>
      </w:r>
      <w:r>
        <w:rPr>
          <w:bCs/>
        </w:rPr>
      </w:r>
      <w:r>
        <w:rPr>
          <w:bCs/>
        </w:rPr>
      </w:r>
    </w:p>
    <w:p>
      <w:pPr>
        <w:ind w:firstLine="709"/>
        <w:jc w:val="both"/>
        <w:shd w:val="clear" w:color="auto" w:fill="ffffff"/>
        <w:widowControl w:val="off"/>
        <w:tabs>
          <w:tab w:val="left" w:pos="5465" w:leader="none"/>
        </w:tabs>
        <w:rPr>
          <w:bCs/>
        </w:rPr>
      </w:pPr>
      <w:r>
        <w:rPr>
          <w:bCs/>
        </w:rPr>
        <w:t xml:space="preserve">15.3.</w:t>
      </w:r>
      <w:r>
        <w:rPr>
          <w:bCs/>
          <w:i/>
        </w:rPr>
        <w:t xml:space="preserve"> </w:t>
      </w:r>
      <w:r>
        <w:rPr>
          <w:bCs/>
        </w:rPr>
        <w:t xml:space="preserve">Заказчик вправе приостанавливать выполнение работ в случае обнаружения фактов нарушения обязательств Подрядчика, указа</w:t>
      </w:r>
      <w:r>
        <w:rPr>
          <w:bCs/>
        </w:rPr>
        <w:t xml:space="preserve">нных в настоящем разделе. При этом сроки выполнения работ не продлеваются на период, потраченный на устранение замечаний.</w:t>
      </w:r>
      <w:r>
        <w:rPr>
          <w:bCs/>
        </w:rPr>
      </w:r>
      <w:r>
        <w:rPr>
          <w:bCs/>
        </w:rPr>
      </w:r>
    </w:p>
    <w:p>
      <w:pPr>
        <w:ind w:firstLine="709"/>
        <w:jc w:val="both"/>
        <w:shd w:val="clear" w:color="auto" w:fill="ffffff"/>
        <w:widowControl w:val="off"/>
        <w:tabs>
          <w:tab w:val="left" w:pos="5465" w:leader="none"/>
        </w:tabs>
        <w:rPr>
          <w:bCs/>
        </w:rPr>
      </w:pPr>
      <w:r>
        <w:rPr>
          <w:bCs/>
        </w:rPr>
        <w:t xml:space="preserve">15.4. Подрядчик при исполнении обязательств по договору обязуется обеспечивать недопущение своим персоналом следующих нарушений требов</w:t>
      </w:r>
      <w:r>
        <w:rPr>
          <w:bCs/>
        </w:rPr>
        <w:t xml:space="preserve">аний охраны труда:</w:t>
      </w:r>
      <w:r>
        <w:rPr>
          <w:bCs/>
        </w:rPr>
      </w:r>
      <w:r>
        <w:rPr>
          <w:bCs/>
        </w:rPr>
      </w:r>
    </w:p>
    <w:p>
      <w:pPr>
        <w:ind w:firstLine="709"/>
        <w:jc w:val="both"/>
        <w:shd w:val="clear" w:color="auto" w:fill="ffffff"/>
        <w:widowControl w:val="off"/>
        <w:tabs>
          <w:tab w:val="left" w:pos="5465" w:leader="none"/>
        </w:tabs>
        <w:rPr>
          <w:bCs/>
        </w:rPr>
      </w:pPr>
      <w:r>
        <w:rPr>
          <w:bCs/>
        </w:rPr>
        <w:t xml:space="preserve">- проникновение за ограждение и барьеры действующих электроустановок;</w:t>
      </w:r>
      <w:r>
        <w:rPr>
          <w:bCs/>
        </w:rPr>
      </w:r>
      <w:r>
        <w:rPr>
          <w:bCs/>
        </w:rPr>
      </w:r>
    </w:p>
    <w:p>
      <w:pPr>
        <w:ind w:firstLine="709"/>
        <w:jc w:val="both"/>
        <w:shd w:val="clear" w:color="auto" w:fill="ffffff"/>
        <w:widowControl w:val="off"/>
        <w:tabs>
          <w:tab w:val="left" w:pos="5465" w:leader="none"/>
        </w:tabs>
        <w:rPr>
          <w:bCs/>
        </w:rPr>
      </w:pPr>
      <w:r>
        <w:rPr>
          <w:bCs/>
        </w:rPr>
        <w:t xml:space="preserve">- проведение работ в действующих электроустановках без оформления их нарядом-допуском;</w:t>
      </w:r>
      <w:r>
        <w:rPr>
          <w:bCs/>
        </w:rPr>
      </w:r>
      <w:r>
        <w:rPr>
          <w:bCs/>
        </w:rPr>
      </w:r>
    </w:p>
    <w:p>
      <w:pPr>
        <w:ind w:firstLine="709"/>
        <w:jc w:val="both"/>
        <w:shd w:val="clear" w:color="auto" w:fill="ffffff"/>
        <w:widowControl w:val="off"/>
        <w:tabs>
          <w:tab w:val="left" w:pos="5465" w:leader="none"/>
        </w:tabs>
        <w:rPr>
          <w:bCs/>
        </w:rPr>
      </w:pPr>
      <w:r>
        <w:rPr>
          <w:bCs/>
        </w:rPr>
        <w:t xml:space="preserve">- самовольное проведение работ, расширение рабочего места и объема задания, опре</w:t>
      </w:r>
      <w:r>
        <w:rPr>
          <w:bCs/>
        </w:rPr>
        <w:t xml:space="preserve">деленных нарядом-допуском;</w:t>
      </w:r>
      <w:r>
        <w:rPr>
          <w:bCs/>
        </w:rPr>
      </w:r>
      <w:r>
        <w:rPr>
          <w:bCs/>
        </w:rPr>
      </w:r>
    </w:p>
    <w:p>
      <w:pPr>
        <w:ind w:firstLine="709"/>
        <w:jc w:val="both"/>
        <w:shd w:val="clear" w:color="auto" w:fill="ffffff"/>
        <w:widowControl w:val="off"/>
        <w:tabs>
          <w:tab w:val="left" w:pos="5465" w:leader="none"/>
        </w:tabs>
        <w:rPr>
          <w:bCs/>
        </w:rPr>
      </w:pPr>
      <w:r>
        <w:rPr>
          <w:bCs/>
        </w:rPr>
        <w:t xml:space="preserve">- отсутствие на рабочем месте необходимых заземлений, ограждений, плакатов, запирающих устройств приводов и т.п.;</w:t>
      </w:r>
      <w:r>
        <w:rPr>
          <w:bCs/>
        </w:rPr>
      </w:r>
      <w:r>
        <w:rPr>
          <w:bCs/>
        </w:rPr>
      </w:r>
    </w:p>
    <w:p>
      <w:pPr>
        <w:ind w:firstLine="709"/>
        <w:jc w:val="both"/>
        <w:shd w:val="clear" w:color="auto" w:fill="ffffff"/>
        <w:widowControl w:val="off"/>
        <w:tabs>
          <w:tab w:val="left" w:pos="5465" w:leader="none"/>
        </w:tabs>
        <w:rPr>
          <w:bCs/>
        </w:rPr>
      </w:pPr>
      <w:r>
        <w:rPr>
          <w:bCs/>
        </w:rPr>
        <w:t xml:space="preserve">- отсутствие, неправильное применение либо неисправность необходимых средств защиты, инструмента, инвентаря и присп</w:t>
      </w:r>
      <w:r>
        <w:rPr>
          <w:bCs/>
        </w:rPr>
        <w:t xml:space="preserve">особлений;</w:t>
      </w:r>
      <w:r>
        <w:rPr>
          <w:bCs/>
        </w:rPr>
      </w:r>
      <w:r>
        <w:rPr>
          <w:bCs/>
        </w:rPr>
      </w:r>
    </w:p>
    <w:p>
      <w:pPr>
        <w:ind w:firstLine="709"/>
        <w:jc w:val="both"/>
        <w:shd w:val="clear" w:color="auto" w:fill="ffffff"/>
        <w:widowControl w:val="off"/>
        <w:tabs>
          <w:tab w:val="left" w:pos="5465" w:leader="none"/>
        </w:tabs>
        <w:rPr>
          <w:bCs/>
        </w:rPr>
      </w:pPr>
      <w:r>
        <w:rPr>
          <w:bCs/>
        </w:rPr>
        <w:t xml:space="preserve">- проведение работ по наряду-допуску без проведения целевого инструктажа;</w:t>
      </w:r>
      <w:r>
        <w:rPr>
          <w:bCs/>
        </w:rPr>
      </w:r>
      <w:r>
        <w:rPr>
          <w:bCs/>
        </w:rPr>
      </w:r>
    </w:p>
    <w:p>
      <w:pPr>
        <w:ind w:firstLine="709"/>
        <w:jc w:val="both"/>
        <w:shd w:val="clear" w:color="auto" w:fill="ffffff"/>
        <w:widowControl w:val="off"/>
        <w:tabs>
          <w:tab w:val="left" w:pos="5465" w:leader="none"/>
        </w:tabs>
        <w:rPr>
          <w:bCs/>
        </w:rPr>
      </w:pPr>
      <w:r>
        <w:rPr>
          <w:bCs/>
        </w:rPr>
        <w:t xml:space="preserve">- проведение работ по наряду-допуску без получения и оформления целевого инструктажа;</w:t>
      </w:r>
      <w:r>
        <w:rPr>
          <w:bCs/>
        </w:rPr>
      </w:r>
      <w:r>
        <w:rPr>
          <w:bCs/>
        </w:rPr>
      </w:r>
    </w:p>
    <w:p>
      <w:pPr>
        <w:ind w:firstLine="709"/>
        <w:jc w:val="both"/>
        <w:shd w:val="clear" w:color="auto" w:fill="ffffff"/>
        <w:widowControl w:val="off"/>
        <w:tabs>
          <w:tab w:val="left" w:pos="5465" w:leader="none"/>
        </w:tabs>
        <w:rPr>
          <w:bCs/>
        </w:rPr>
      </w:pPr>
      <w:r>
        <w:rPr>
          <w:bCs/>
        </w:rPr>
        <w:t xml:space="preserve">- выполнение работ без оформления нового наряда-</w:t>
      </w:r>
      <w:r>
        <w:rPr>
          <w:bCs/>
        </w:rPr>
        <w:t xml:space="preserve">допуска  в</w:t>
      </w:r>
      <w:r>
        <w:rPr>
          <w:bCs/>
        </w:rPr>
        <w:t xml:space="preserve"> случаях, когда произошла з</w:t>
      </w:r>
      <w:r>
        <w:rPr>
          <w:bCs/>
        </w:rPr>
        <w:t xml:space="preserve">амена ответственного руководителя или производителя работ, изменился состав бригады белее, чем наполовину, а также изменились условия работы;</w:t>
      </w:r>
      <w:r>
        <w:rPr>
          <w:bCs/>
        </w:rPr>
      </w:r>
      <w:r>
        <w:rPr>
          <w:bCs/>
        </w:rPr>
      </w:r>
    </w:p>
    <w:p>
      <w:pPr>
        <w:ind w:firstLine="709"/>
        <w:jc w:val="both"/>
        <w:shd w:val="clear" w:color="auto" w:fill="ffffff"/>
        <w:widowControl w:val="off"/>
        <w:tabs>
          <w:tab w:val="left" w:pos="5465" w:leader="none"/>
        </w:tabs>
        <w:rPr>
          <w:bCs/>
        </w:rPr>
      </w:pPr>
      <w:r>
        <w:rPr>
          <w:bCs/>
        </w:rPr>
        <w:t xml:space="preserve">- выполнение операций по проверке отсутствия напряжения, а также по установке, снятию заземлений работниками без с</w:t>
      </w:r>
      <w:r>
        <w:rPr>
          <w:bCs/>
        </w:rPr>
        <w:t xml:space="preserve">оответствующей группы по электробезопасности;</w:t>
      </w:r>
      <w:r>
        <w:rPr>
          <w:bCs/>
        </w:rPr>
      </w:r>
      <w:r>
        <w:rPr>
          <w:bCs/>
        </w:rPr>
      </w:r>
    </w:p>
    <w:p>
      <w:pPr>
        <w:ind w:firstLine="709"/>
        <w:jc w:val="both"/>
        <w:shd w:val="clear" w:color="auto" w:fill="ffffff"/>
        <w:widowControl w:val="off"/>
        <w:tabs>
          <w:tab w:val="left" w:pos="5465" w:leader="none"/>
        </w:tabs>
        <w:rPr>
          <w:bCs/>
        </w:rPr>
      </w:pPr>
      <w:r>
        <w:rPr>
          <w:bCs/>
        </w:rPr>
        <w:t xml:space="preserve">- выполнение работ на ВЛ с подъемом на опору без соответствующей группы </w:t>
      </w:r>
      <w:r>
        <w:rPr>
          <w:bCs/>
        </w:rPr>
        <w:br/>
        <w:t xml:space="preserve">по электробезопасности и допуска к работам на высоте.</w:t>
      </w:r>
      <w:r>
        <w:rPr>
          <w:bCs/>
        </w:rPr>
      </w:r>
      <w:r>
        <w:rPr>
          <w:bCs/>
        </w:rPr>
      </w:r>
    </w:p>
    <w:p>
      <w:pPr>
        <w:pStyle w:val="1761"/>
        <w:ind w:left="0"/>
        <w:jc w:val="both"/>
        <w:spacing w:after="0" w:line="240" w:lineRule="auto"/>
        <w:widowControl w:val="off"/>
        <w:rPr>
          <w:rFonts w:ascii="Times New Roman" w:hAnsi="Times New Roman"/>
          <w:sz w:val="24"/>
          <w:szCs w:val="24"/>
          <w:lang w:eastAsia="ar-SA"/>
        </w:rPr>
      </w:pPr>
      <w:r>
        <w:rPr>
          <w:rFonts w:ascii="Times New Roman" w:hAnsi="Times New Roman"/>
          <w:sz w:val="24"/>
          <w:szCs w:val="24"/>
          <w:lang w:eastAsia="ar-SA"/>
        </w:rPr>
      </w:r>
      <w:r>
        <w:rPr>
          <w:rFonts w:ascii="Times New Roman" w:hAnsi="Times New Roman"/>
          <w:sz w:val="24"/>
          <w:szCs w:val="24"/>
          <w:lang w:eastAsia="ar-SA"/>
        </w:rPr>
      </w:r>
      <w:r>
        <w:rPr>
          <w:rFonts w:ascii="Times New Roman" w:hAnsi="Times New Roman"/>
          <w:sz w:val="24"/>
          <w:szCs w:val="24"/>
          <w:lang w:eastAsia="ar-SA"/>
        </w:rPr>
      </w:r>
    </w:p>
    <w:p>
      <w:pPr>
        <w:pStyle w:val="1761"/>
        <w:numPr>
          <w:ilvl w:val="0"/>
          <w:numId w:val="27"/>
        </w:numPr>
        <w:ind w:left="0"/>
        <w:jc w:val="center"/>
        <w:spacing w:after="0" w:line="240" w:lineRule="auto"/>
        <w:tabs>
          <w:tab w:val="left" w:pos="1075" w:leader="none"/>
        </w:tabs>
        <w:rPr>
          <w:rFonts w:ascii="Times New Roman" w:hAnsi="Times New Roman"/>
          <w:b/>
          <w:sz w:val="24"/>
          <w:szCs w:val="24"/>
        </w:rPr>
      </w:pPr>
      <w:r>
        <w:rPr>
          <w:rFonts w:ascii="Times New Roman" w:hAnsi="Times New Roman"/>
          <w:b/>
          <w:sz w:val="24"/>
          <w:szCs w:val="24"/>
        </w:rPr>
        <w:t xml:space="preserve">Конфиденциальность</w:t>
      </w:r>
      <w:r>
        <w:rPr>
          <w:rFonts w:ascii="Times New Roman" w:hAnsi="Times New Roman"/>
          <w:b/>
          <w:sz w:val="24"/>
          <w:szCs w:val="24"/>
        </w:rPr>
      </w:r>
      <w:r>
        <w:rPr>
          <w:rFonts w:ascii="Times New Roman" w:hAnsi="Times New Roman"/>
          <w:b/>
          <w:sz w:val="24"/>
          <w:szCs w:val="24"/>
        </w:rPr>
      </w:r>
    </w:p>
    <w:p>
      <w:pPr>
        <w:pStyle w:val="1761"/>
        <w:numPr>
          <w:ilvl w:val="1"/>
          <w:numId w:val="27"/>
        </w:numPr>
        <w:ind w:left="0" w:firstLine="710"/>
        <w:jc w:val="both"/>
        <w:spacing w:after="0" w:line="240" w:lineRule="auto"/>
        <w:rPr>
          <w:rFonts w:ascii="Times New Roman" w:hAnsi="Times New Roman"/>
          <w:sz w:val="24"/>
          <w:szCs w:val="24"/>
        </w:rPr>
      </w:pPr>
      <w:r>
        <w:rPr>
          <w:rFonts w:ascii="Times New Roman" w:hAnsi="Times New Roman"/>
          <w:sz w:val="24"/>
          <w:szCs w:val="24"/>
        </w:rPr>
        <w:t xml:space="preserve">Стороны не вправе раскрывать третьим лицам представляемую друг другу юридическую, финансовую и иную информацию, связанную с заключением </w:t>
      </w:r>
      <w:r>
        <w:rPr>
          <w:rFonts w:ascii="Times New Roman" w:hAnsi="Times New Roman"/>
          <w:sz w:val="24"/>
          <w:szCs w:val="24"/>
        </w:rPr>
        <w:br/>
        <w:t xml:space="preserve">и исполнением Договора, в случае, если Сторона, получившая такую информацию, заранее поставлена в известность, что для </w:t>
      </w:r>
      <w:r>
        <w:rPr>
          <w:rFonts w:ascii="Times New Roman" w:hAnsi="Times New Roman"/>
          <w:sz w:val="24"/>
          <w:szCs w:val="24"/>
        </w:rPr>
        <w:t xml:space="preserve">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r>
        <w:rPr>
          <w:rFonts w:ascii="Times New Roman" w:hAnsi="Times New Roman"/>
          <w:sz w:val="24"/>
          <w:szCs w:val="24"/>
        </w:rPr>
      </w:r>
      <w:r>
        <w:rPr>
          <w:rFonts w:ascii="Times New Roman" w:hAnsi="Times New Roman"/>
          <w:sz w:val="24"/>
          <w:szCs w:val="24"/>
        </w:rPr>
      </w:r>
    </w:p>
    <w:p>
      <w:pPr>
        <w:pStyle w:val="1761"/>
        <w:numPr>
          <w:ilvl w:val="1"/>
          <w:numId w:val="27"/>
        </w:numPr>
        <w:ind w:left="0" w:firstLine="710"/>
        <w:jc w:val="both"/>
        <w:spacing w:after="0" w:line="240" w:lineRule="auto"/>
        <w:rPr>
          <w:rFonts w:ascii="Times New Roman" w:hAnsi="Times New Roman"/>
          <w:sz w:val="24"/>
          <w:szCs w:val="24"/>
        </w:rPr>
      </w:pPr>
      <w:r>
        <w:rPr>
          <w:rFonts w:ascii="Times New Roman" w:hAnsi="Times New Roman"/>
          <w:sz w:val="24"/>
          <w:szCs w:val="24"/>
        </w:rPr>
        <w:t xml:space="preserve">Стороны имеют право разглашать условия Договора исключительно </w:t>
      </w:r>
      <w:r>
        <w:rPr>
          <w:rFonts w:ascii="Times New Roman" w:hAnsi="Times New Roman"/>
          <w:sz w:val="24"/>
          <w:szCs w:val="24"/>
        </w:rPr>
        <w:br/>
        <w:t xml:space="preserve">в случаях, когда такое разглашение однозначн</w:t>
      </w:r>
      <w:r>
        <w:rPr>
          <w:rFonts w:ascii="Times New Roman" w:hAnsi="Times New Roman"/>
          <w:sz w:val="24"/>
          <w:szCs w:val="24"/>
        </w:rPr>
        <w:t xml:space="preserve">о и напрямую требуется в соответствии </w:t>
      </w:r>
      <w:r>
        <w:rPr>
          <w:rFonts w:ascii="Times New Roman" w:hAnsi="Times New Roman"/>
          <w:sz w:val="24"/>
          <w:szCs w:val="24"/>
        </w:rPr>
        <w:br/>
        <w:t xml:space="preserve">с законодательством Российской Федерации и только тем уполномоченным государственным органам, которые прямо указаны в законе, а также исключительно </w:t>
      </w:r>
      <w:r>
        <w:rPr>
          <w:rFonts w:ascii="Times New Roman" w:hAnsi="Times New Roman"/>
          <w:sz w:val="24"/>
          <w:szCs w:val="24"/>
        </w:rPr>
        <w:br/>
        <w:t xml:space="preserve">в объеме (и ни в коем случае в превышение такого объема), напрямую у</w:t>
      </w:r>
      <w:r>
        <w:rPr>
          <w:rFonts w:ascii="Times New Roman" w:hAnsi="Times New Roman"/>
          <w:sz w:val="24"/>
          <w:szCs w:val="24"/>
        </w:rPr>
        <w:t xml:space="preserve">казанном </w:t>
      </w:r>
      <w:r>
        <w:rPr>
          <w:rFonts w:ascii="Times New Roman" w:hAnsi="Times New Roman"/>
          <w:sz w:val="24"/>
          <w:szCs w:val="24"/>
        </w:rPr>
        <w:br/>
        <w:t xml:space="preserve">в соответствующем законе.</w:t>
      </w:r>
      <w:r>
        <w:rPr>
          <w:rFonts w:ascii="Times New Roman" w:hAnsi="Times New Roman"/>
          <w:sz w:val="24"/>
          <w:szCs w:val="24"/>
        </w:rPr>
      </w:r>
      <w:r>
        <w:rPr>
          <w:rFonts w:ascii="Times New Roman" w:hAnsi="Times New Roman"/>
          <w:sz w:val="24"/>
          <w:szCs w:val="24"/>
        </w:rPr>
      </w:r>
    </w:p>
    <w:p>
      <w:pPr>
        <w:pStyle w:val="1761"/>
        <w:numPr>
          <w:ilvl w:val="1"/>
          <w:numId w:val="27"/>
        </w:numPr>
        <w:ind w:left="0" w:firstLine="709"/>
        <w:jc w:val="both"/>
        <w:spacing w:after="0" w:line="240" w:lineRule="auto"/>
        <w:rPr>
          <w:rFonts w:ascii="Times New Roman" w:hAnsi="Times New Roman"/>
          <w:sz w:val="24"/>
          <w:szCs w:val="24"/>
        </w:rPr>
      </w:pPr>
      <w:r>
        <w:rPr>
          <w:rFonts w:ascii="Times New Roman" w:hAnsi="Times New Roman"/>
          <w:sz w:val="24"/>
          <w:szCs w:val="24"/>
        </w:rPr>
        <w:t xml:space="preserve">Стороны обязуются:</w:t>
      </w:r>
      <w:r>
        <w:rPr>
          <w:rFonts w:ascii="Times New Roman" w:hAnsi="Times New Roman"/>
          <w:sz w:val="24"/>
          <w:szCs w:val="24"/>
        </w:rPr>
      </w:r>
      <w:r>
        <w:rPr>
          <w:rFonts w:ascii="Times New Roman" w:hAnsi="Times New Roman"/>
          <w:sz w:val="24"/>
          <w:szCs w:val="24"/>
        </w:rPr>
      </w:r>
    </w:p>
    <w:p>
      <w:pPr>
        <w:pStyle w:val="1761"/>
        <w:numPr>
          <w:ilvl w:val="2"/>
          <w:numId w:val="27"/>
        </w:numPr>
        <w:ind w:left="0" w:firstLine="709"/>
        <w:jc w:val="both"/>
        <w:spacing w:after="0" w:line="240" w:lineRule="auto"/>
        <w:rPr>
          <w:rFonts w:ascii="Times New Roman" w:hAnsi="Times New Roman"/>
          <w:sz w:val="24"/>
          <w:szCs w:val="24"/>
        </w:rPr>
      </w:pPr>
      <w:r>
        <w:rPr>
          <w:rFonts w:ascii="Times New Roman" w:hAnsi="Times New Roman"/>
          <w:sz w:val="24"/>
          <w:szCs w:val="24"/>
        </w:rPr>
        <w:t xml:space="preserve">Обеспечить хранение конфиденциальной информации, исключающее доступ </w:t>
      </w:r>
      <w:r>
        <w:rPr>
          <w:rFonts w:ascii="Times New Roman" w:hAnsi="Times New Roman"/>
          <w:sz w:val="24"/>
          <w:szCs w:val="24"/>
        </w:rPr>
        <w:br/>
        <w:t xml:space="preserve">к информации третьих лиц;</w:t>
      </w:r>
      <w:r>
        <w:rPr>
          <w:rFonts w:ascii="Times New Roman" w:hAnsi="Times New Roman"/>
          <w:sz w:val="24"/>
          <w:szCs w:val="24"/>
        </w:rPr>
      </w:r>
      <w:r>
        <w:rPr>
          <w:rFonts w:ascii="Times New Roman" w:hAnsi="Times New Roman"/>
          <w:sz w:val="24"/>
          <w:szCs w:val="24"/>
        </w:rPr>
      </w:r>
    </w:p>
    <w:p>
      <w:pPr>
        <w:pStyle w:val="1761"/>
        <w:numPr>
          <w:ilvl w:val="2"/>
          <w:numId w:val="27"/>
        </w:numPr>
        <w:ind w:left="0" w:firstLine="709"/>
        <w:jc w:val="both"/>
        <w:spacing w:after="0" w:line="240" w:lineRule="auto"/>
        <w:rPr>
          <w:rFonts w:ascii="Times New Roman" w:hAnsi="Times New Roman"/>
          <w:sz w:val="24"/>
          <w:szCs w:val="24"/>
        </w:rPr>
      </w:pPr>
      <w:r>
        <w:rPr>
          <w:rFonts w:ascii="Times New Roman" w:hAnsi="Times New Roman"/>
          <w:sz w:val="24"/>
          <w:szCs w:val="24"/>
        </w:rPr>
        <w:t xml:space="preserve">Не передавать конфиденциальную информацию третьим лицам как в полном объеме, так и частично.</w:t>
      </w:r>
      <w:r>
        <w:rPr>
          <w:rFonts w:ascii="Times New Roman" w:hAnsi="Times New Roman"/>
          <w:sz w:val="24"/>
          <w:szCs w:val="24"/>
        </w:rPr>
      </w:r>
      <w:r>
        <w:rPr>
          <w:rFonts w:ascii="Times New Roman" w:hAnsi="Times New Roman"/>
          <w:sz w:val="24"/>
          <w:szCs w:val="24"/>
        </w:rPr>
      </w:r>
    </w:p>
    <w:p>
      <w:pPr>
        <w:pStyle w:val="1761"/>
        <w:numPr>
          <w:ilvl w:val="1"/>
          <w:numId w:val="27"/>
        </w:numPr>
        <w:ind w:left="0" w:firstLine="709"/>
        <w:jc w:val="both"/>
        <w:spacing w:after="0" w:line="240" w:lineRule="auto"/>
        <w:rPr>
          <w:rFonts w:ascii="Times New Roman" w:hAnsi="Times New Roman"/>
          <w:sz w:val="24"/>
          <w:szCs w:val="24"/>
        </w:rPr>
      </w:pPr>
      <w:r>
        <w:rPr>
          <w:rFonts w:ascii="Times New Roman" w:hAnsi="Times New Roman"/>
          <w:sz w:val="24"/>
          <w:szCs w:val="24"/>
        </w:rPr>
        <w:t xml:space="preserve">Предусмотренн</w:t>
      </w:r>
      <w:r>
        <w:rPr>
          <w:rFonts w:ascii="Times New Roman" w:hAnsi="Times New Roman"/>
          <w:sz w:val="24"/>
          <w:szCs w:val="24"/>
        </w:rPr>
        <w:t xml:space="preserve">ые настоящим разделом Договора обязательства Сторон </w:t>
      </w:r>
      <w:r>
        <w:rPr>
          <w:rFonts w:ascii="Times New Roman" w:hAnsi="Times New Roman"/>
          <w:sz w:val="24"/>
          <w:szCs w:val="24"/>
        </w:rPr>
        <w:br/>
        <w:t xml:space="preserve">в отношении конфиденциальной информации действуют в течение 5 лет после прекращения действия Договора.</w:t>
      </w:r>
      <w:r>
        <w:rPr>
          <w:rFonts w:ascii="Times New Roman" w:hAnsi="Times New Roman"/>
          <w:sz w:val="24"/>
          <w:szCs w:val="24"/>
        </w:rPr>
      </w:r>
      <w:r>
        <w:rPr>
          <w:rFonts w:ascii="Times New Roman" w:hAnsi="Times New Roman"/>
          <w:sz w:val="24"/>
          <w:szCs w:val="24"/>
        </w:rPr>
      </w:r>
    </w:p>
    <w:p>
      <w:pPr>
        <w:pStyle w:val="1761"/>
        <w:ind w:left="0" w:firstLine="709"/>
        <w:jc w:val="both"/>
        <w:spacing w:after="0" w:line="240" w:lineRule="auto"/>
        <w:widowControl w:val="off"/>
        <w:rPr>
          <w:rFonts w:ascii="Times New Roman" w:hAnsi="Times New Roman"/>
          <w:sz w:val="24"/>
          <w:szCs w:val="24"/>
        </w:rPr>
      </w:pPr>
      <w:r>
        <w:rPr>
          <w:rFonts w:ascii="Times New Roman" w:hAnsi="Times New Roman"/>
          <w:sz w:val="24"/>
          <w:szCs w:val="24"/>
        </w:rPr>
        <w:t xml:space="preserve">Заявления для печати или иные публичные заявления любой из Сторон, связанные </w:t>
      </w:r>
      <w:r>
        <w:rPr>
          <w:rFonts w:ascii="Times New Roman" w:hAnsi="Times New Roman"/>
          <w:sz w:val="24"/>
          <w:szCs w:val="24"/>
        </w:rPr>
        <w:br/>
        <w:t xml:space="preserve">с условиями Договора, </w:t>
      </w:r>
      <w:r>
        <w:rPr>
          <w:rFonts w:ascii="Times New Roman" w:hAnsi="Times New Roman"/>
          <w:sz w:val="24"/>
          <w:szCs w:val="24"/>
        </w:rPr>
        <w:t xml:space="preserve">требуют предварительного письменного согласия другой Стороны.</w:t>
      </w:r>
      <w:r>
        <w:rPr>
          <w:rFonts w:ascii="Times New Roman" w:hAnsi="Times New Roman"/>
          <w:sz w:val="24"/>
          <w:szCs w:val="24"/>
        </w:rPr>
      </w:r>
      <w:r>
        <w:rPr>
          <w:rFonts w:ascii="Times New Roman" w:hAnsi="Times New Roman"/>
          <w:sz w:val="24"/>
          <w:szCs w:val="24"/>
        </w:rPr>
      </w:r>
    </w:p>
    <w:p>
      <w:pPr>
        <w:ind w:firstLine="709"/>
        <w:jc w:val="both"/>
        <w:shd w:val="clear" w:color="auto" w:fill="ffffff"/>
        <w:widowControl w:val="off"/>
        <w:tabs>
          <w:tab w:val="left" w:pos="5465" w:leader="none"/>
        </w:tabs>
        <w:rPr>
          <w:bCs/>
        </w:rPr>
      </w:pPr>
      <w:r>
        <w:rPr>
          <w:bCs/>
        </w:rPr>
        <w:t xml:space="preserve">Передача и использование Сторонами по Договору информации, составляющей коммерческую тайну, осуществляется на основании соглашения о конфиденциальности (Приложение №13 к Договору), заключаемого </w:t>
      </w:r>
      <w:r>
        <w:rPr>
          <w:bCs/>
        </w:rPr>
        <w:t xml:space="preserve">Сторонами по типовой форме, утвержденной в ПАО «</w:t>
      </w:r>
      <w:r>
        <w:rPr>
          <w:bCs/>
        </w:rPr>
        <w:t xml:space="preserve">Россети</w:t>
      </w:r>
      <w:r>
        <w:rPr>
          <w:bCs/>
        </w:rPr>
        <w:t xml:space="preserve"> Ленэнерго».</w:t>
      </w:r>
      <w:r>
        <w:rPr>
          <w:bCs/>
        </w:rPr>
      </w:r>
      <w:r>
        <w:rPr>
          <w:bCs/>
        </w:rPr>
      </w:r>
    </w:p>
    <w:p>
      <w:pPr>
        <w:pStyle w:val="1761"/>
        <w:ind w:left="0"/>
        <w:jc w:val="both"/>
        <w:spacing w:after="0" w:line="240" w:lineRule="auto"/>
        <w:widowControl w:val="off"/>
        <w:rPr>
          <w:rFonts w:ascii="Times New Roman" w:hAnsi="Times New Roman"/>
          <w:sz w:val="24"/>
          <w:szCs w:val="24"/>
          <w:lang w:eastAsia="ar-SA"/>
        </w:rPr>
      </w:pPr>
      <w:r>
        <w:rPr>
          <w:rFonts w:ascii="Times New Roman" w:hAnsi="Times New Roman"/>
          <w:sz w:val="24"/>
          <w:szCs w:val="24"/>
          <w:lang w:eastAsia="ar-SA"/>
        </w:rPr>
      </w:r>
      <w:r>
        <w:rPr>
          <w:rFonts w:ascii="Times New Roman" w:hAnsi="Times New Roman"/>
          <w:sz w:val="24"/>
          <w:szCs w:val="24"/>
          <w:lang w:eastAsia="ar-SA"/>
        </w:rPr>
      </w:r>
      <w:r>
        <w:rPr>
          <w:rFonts w:ascii="Times New Roman" w:hAnsi="Times New Roman"/>
          <w:sz w:val="24"/>
          <w:szCs w:val="24"/>
          <w:lang w:eastAsia="ar-SA"/>
        </w:rPr>
      </w:r>
    </w:p>
    <w:p>
      <w:pPr>
        <w:pStyle w:val="1761"/>
        <w:numPr>
          <w:ilvl w:val="0"/>
          <w:numId w:val="27"/>
        </w:numPr>
        <w:ind w:left="0" w:firstLine="0"/>
        <w:jc w:val="center"/>
        <w:spacing w:after="0" w:line="240" w:lineRule="auto"/>
        <w:shd w:val="clear" w:color="auto" w:fill="ffffff"/>
        <w:widowControl w:val="off"/>
        <w:rPr>
          <w:rFonts w:ascii="Times New Roman" w:hAnsi="Times New Roman"/>
          <w:b/>
          <w:bCs/>
          <w:color w:val="000000"/>
          <w:sz w:val="24"/>
          <w:szCs w:val="24"/>
        </w:rPr>
      </w:pPr>
      <w:r>
        <w:rPr>
          <w:rFonts w:ascii="Times New Roman" w:hAnsi="Times New Roman"/>
          <w:b/>
          <w:bCs/>
          <w:color w:val="000000"/>
          <w:sz w:val="24"/>
          <w:szCs w:val="24"/>
        </w:rPr>
        <w:t xml:space="preserve">Особые условия. </w:t>
      </w:r>
      <w:r>
        <w:rPr>
          <w:rFonts w:ascii="Times New Roman" w:hAnsi="Times New Roman"/>
          <w:b/>
          <w:bCs/>
          <w:color w:val="000000"/>
          <w:sz w:val="24"/>
          <w:szCs w:val="24"/>
        </w:rPr>
      </w:r>
      <w:r>
        <w:rPr>
          <w:rFonts w:ascii="Times New Roman" w:hAnsi="Times New Roman"/>
          <w:b/>
          <w:bCs/>
          <w:color w:val="000000"/>
          <w:sz w:val="24"/>
          <w:szCs w:val="24"/>
        </w:rPr>
      </w:r>
    </w:p>
    <w:p>
      <w:pPr>
        <w:ind w:firstLine="851"/>
        <w:jc w:val="both"/>
        <w:shd w:val="clear" w:color="auto" w:fill="ffffff"/>
        <w:rPr>
          <w:lang w:eastAsia="ar-SA"/>
        </w:rPr>
      </w:pPr>
      <w:r>
        <w:rPr>
          <w:lang w:eastAsia="ar-SA"/>
        </w:rPr>
        <w:t xml:space="preserve">17.1. Договор</w:t>
      </w:r>
      <w:r>
        <w:rPr>
          <w:lang w:eastAsia="ar-SA"/>
        </w:rPr>
        <w:t xml:space="preserve">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w:t>
      </w:r>
      <w:r>
        <w:rPr>
          <w:lang w:eastAsia="ar-SA"/>
        </w:rPr>
        <w:br/>
        <w:t xml:space="preserve">(как письменные, так и устные) сторон по эт</w:t>
      </w:r>
      <w:r>
        <w:rPr>
          <w:lang w:eastAsia="ar-SA"/>
        </w:rPr>
        <w:t xml:space="preserve">ому предмету, имевшие место до дня подписания Договора</w:t>
      </w:r>
      <w:r>
        <w:rPr>
          <w:lang w:eastAsia="ar-SA"/>
        </w:rPr>
      </w:r>
      <w:r>
        <w:rPr>
          <w:lang w:eastAsia="ar-SA"/>
        </w:rPr>
      </w:r>
    </w:p>
    <w:p>
      <w:pPr>
        <w:ind w:firstLine="851"/>
        <w:jc w:val="both"/>
        <w:shd w:val="clear" w:color="auto" w:fill="ffffff"/>
        <w:rPr>
          <w:lang w:eastAsia="ar-SA"/>
        </w:rPr>
      </w:pPr>
      <w:r>
        <w:rPr>
          <w:lang w:eastAsia="ar-SA"/>
        </w:rPr>
        <w:t xml:space="preserve">17.2. Любая переписка по Договору осуществляется в письменной форме в виде факсимильного сообщения, письма по электронной почте, почтового отправления в виде заказного письма получателю по адресу, указ</w:t>
      </w:r>
      <w:r>
        <w:rPr>
          <w:lang w:eastAsia="ar-SA"/>
        </w:rPr>
        <w:t xml:space="preserve">анному в Договоре либо курьерской связью. </w:t>
      </w:r>
      <w:r>
        <w:rPr>
          <w:lang w:eastAsia="ar-SA"/>
        </w:rPr>
      </w:r>
      <w:r>
        <w:rPr>
          <w:lang w:eastAsia="ar-SA"/>
        </w:rPr>
      </w:r>
    </w:p>
    <w:p>
      <w:pPr>
        <w:ind w:firstLine="851"/>
        <w:jc w:val="both"/>
        <w:shd w:val="clear" w:color="auto" w:fill="ffffff"/>
        <w:rPr>
          <w:lang w:eastAsia="ar-SA"/>
        </w:rPr>
      </w:pPr>
      <w:r>
        <w:rPr>
          <w:lang w:eastAsia="ar-SA"/>
        </w:rPr>
        <w:t xml:space="preserve">При этом электронная переписка, осуществляемая Сторонами в рамках исполнения настоящего Договора по электронной почте, адреса которой указаны в реквизитах Договора, будет иметь полную юридическую силу и является п</w:t>
      </w:r>
      <w:r>
        <w:rPr>
          <w:lang w:eastAsia="ar-SA"/>
        </w:rPr>
        <w:t xml:space="preserve">исьменным доказательством при разрешении споров в арбитражном суде в соответствии со ст. 75 АПК РФ.</w:t>
      </w:r>
      <w:r>
        <w:rPr>
          <w:lang w:eastAsia="ar-SA"/>
        </w:rPr>
      </w:r>
      <w:r>
        <w:rPr>
          <w:lang w:eastAsia="ar-SA"/>
        </w:rPr>
      </w:r>
    </w:p>
    <w:p>
      <w:pPr>
        <w:ind w:firstLine="851"/>
        <w:jc w:val="both"/>
        <w:shd w:val="clear" w:color="auto" w:fill="ffffff"/>
        <w:rPr>
          <w:lang w:eastAsia="ar-SA"/>
        </w:rPr>
      </w:pPr>
      <w:r>
        <w:rPr>
          <w:lang w:eastAsia="ar-SA"/>
        </w:rPr>
        <w:t xml:space="preserve">17.3. Права и обязанности, возникшие из Договора, Стороны не вправе передавать третьим лицам без заключения соответствующего письменного соглашения. </w:t>
      </w:r>
      <w:r>
        <w:rPr>
          <w:lang w:eastAsia="ar-SA"/>
        </w:rPr>
      </w:r>
      <w:r>
        <w:rPr>
          <w:lang w:eastAsia="ar-SA"/>
        </w:rPr>
      </w:r>
    </w:p>
    <w:p>
      <w:pPr>
        <w:ind w:firstLine="851"/>
        <w:jc w:val="both"/>
        <w:shd w:val="clear" w:color="auto" w:fill="ffffff"/>
        <w:rPr>
          <w:lang w:eastAsia="ar-SA"/>
        </w:rPr>
      </w:pPr>
      <w:r>
        <w:rPr>
          <w:lang w:eastAsia="ar-SA"/>
        </w:rPr>
        <w:t xml:space="preserve">17.4. </w:t>
      </w:r>
      <w:r>
        <w:rPr>
          <w:lang w:eastAsia="ar-SA"/>
        </w:rPr>
        <w:t xml:space="preserve">Риск случайной гибели или случайного повреждения Результата выполненных работ до его приемки Заказчиком несет Подрядчик. </w:t>
      </w:r>
      <w:r>
        <w:rPr>
          <w:lang w:eastAsia="ar-SA"/>
        </w:rPr>
      </w:r>
      <w:r>
        <w:rPr>
          <w:lang w:eastAsia="ar-SA"/>
        </w:rPr>
      </w:r>
    </w:p>
    <w:p>
      <w:pPr>
        <w:ind w:firstLine="851"/>
        <w:jc w:val="both"/>
        <w:shd w:val="clear" w:color="auto" w:fill="ffffff"/>
        <w:rPr>
          <w:lang w:eastAsia="ar-SA"/>
        </w:rPr>
      </w:pPr>
      <w:r>
        <w:rPr>
          <w:lang w:eastAsia="ar-SA"/>
        </w:rPr>
        <w:t xml:space="preserve">17.5. Стороны обязаны уведомить друг друга об изменении реквизитов, указанных </w:t>
      </w:r>
      <w:r>
        <w:rPr>
          <w:lang w:eastAsia="ar-SA"/>
        </w:rPr>
        <w:br/>
        <w:t xml:space="preserve">в Договоре не позднее 5 (пяти) календарных дней с момен</w:t>
      </w:r>
      <w:r>
        <w:rPr>
          <w:lang w:eastAsia="ar-SA"/>
        </w:rPr>
        <w:t xml:space="preserve">та изменений. Сторона, нарушившая данное обязательство обязана возместить в полном объеме другой Стороне убытки, связанные с его неисполнением при предъявлении другой Стороной соответствующей претензии. </w:t>
      </w:r>
      <w:r>
        <w:rPr>
          <w:lang w:eastAsia="ar-SA"/>
        </w:rPr>
      </w:r>
      <w:r>
        <w:rPr>
          <w:lang w:eastAsia="ar-SA"/>
        </w:rPr>
      </w:r>
    </w:p>
    <w:p>
      <w:pPr>
        <w:ind w:firstLine="851"/>
        <w:jc w:val="both"/>
        <w:shd w:val="clear" w:color="auto" w:fill="ffffff"/>
        <w:rPr>
          <w:lang w:eastAsia="ar-SA"/>
        </w:rPr>
      </w:pPr>
      <w:r>
        <w:rPr>
          <w:lang w:eastAsia="ar-SA"/>
        </w:rPr>
        <w:t xml:space="preserve">17.6. Договор составлен на русском языке в 2 (двух) </w:t>
      </w:r>
      <w:r>
        <w:rPr>
          <w:lang w:eastAsia="ar-SA"/>
        </w:rPr>
        <w:t xml:space="preserve">экземплярах, имеющих равную юридическую силу, по одному для каждой из Сторон.</w:t>
      </w:r>
      <w:r>
        <w:rPr>
          <w:lang w:eastAsia="ar-SA"/>
        </w:rPr>
      </w:r>
      <w:r>
        <w:rPr>
          <w:lang w:eastAsia="ar-SA"/>
        </w:rPr>
      </w:r>
    </w:p>
    <w:p>
      <w:pPr>
        <w:ind w:firstLine="851"/>
        <w:jc w:val="both"/>
        <w:shd w:val="clear" w:color="auto" w:fill="ffffff"/>
        <w:rPr>
          <w:lang w:eastAsia="ar-SA"/>
        </w:rPr>
      </w:pPr>
      <w:r>
        <w:rPr>
          <w:lang w:eastAsia="ar-SA"/>
        </w:rPr>
        <w:t xml:space="preserve">17.7. При заключении, исполнении и расторжении Договора Стороны могут использовать документооборот с применением электронной подписи в соответствии </w:t>
      </w:r>
      <w:r>
        <w:rPr>
          <w:lang w:eastAsia="ar-SA"/>
        </w:rPr>
        <w:br/>
        <w:t xml:space="preserve">с законодательством Российско</w:t>
      </w:r>
      <w:r>
        <w:rPr>
          <w:lang w:eastAsia="ar-SA"/>
        </w:rPr>
        <w:t xml:space="preserve">й Федерации.</w:t>
      </w:r>
      <w:r>
        <w:rPr>
          <w:lang w:eastAsia="ar-SA"/>
        </w:rPr>
      </w:r>
      <w:r>
        <w:rPr>
          <w:lang w:eastAsia="ar-SA"/>
        </w:rPr>
      </w:r>
    </w:p>
    <w:p>
      <w:pPr>
        <w:ind w:firstLine="851"/>
        <w:jc w:val="both"/>
        <w:shd w:val="clear" w:color="auto" w:fill="ffffff"/>
        <w:rPr>
          <w:lang w:eastAsia="ar-SA"/>
        </w:rPr>
      </w:pPr>
      <w:r>
        <w:rPr>
          <w:lang w:eastAsia="ar-SA"/>
        </w:rPr>
        <w:t xml:space="preserve">17.8. Вопросы, не урегулированные Договором, регламентируются нормами законодательства Российской Федерации.</w:t>
      </w:r>
      <w:r>
        <w:rPr>
          <w:lang w:eastAsia="ar-SA"/>
        </w:rPr>
      </w:r>
      <w:r>
        <w:rPr>
          <w:lang w:eastAsia="ar-SA"/>
        </w:rPr>
      </w:r>
    </w:p>
    <w:p>
      <w:pPr>
        <w:ind w:firstLine="851"/>
        <w:jc w:val="both"/>
        <w:shd w:val="clear" w:color="auto" w:fill="ffffff"/>
        <w:rPr>
          <w:lang w:eastAsia="ar-SA"/>
        </w:rPr>
      </w:pPr>
      <w:r>
        <w:rPr>
          <w:lang w:eastAsia="ar-SA"/>
        </w:rPr>
        <w:t xml:space="preserve">17.9. Все документы, корреспонденция и переписка, а также вся прочая документация, которая должна быть подготовлена и представлена по </w:t>
      </w:r>
      <w:r>
        <w:rPr>
          <w:lang w:eastAsia="ar-SA"/>
        </w:rPr>
        <w:t xml:space="preserve">Договору, ведутся </w:t>
      </w:r>
      <w:r>
        <w:rPr>
          <w:lang w:eastAsia="ar-SA"/>
        </w:rPr>
        <w:br/>
        <w:t xml:space="preserve">на русском языке, и Договор толкуется в соответствии с нормами этого языка.</w:t>
      </w:r>
      <w:r>
        <w:rPr>
          <w:lang w:eastAsia="ar-SA"/>
        </w:rPr>
      </w:r>
      <w:r>
        <w:rPr>
          <w:lang w:eastAsia="ar-SA"/>
        </w:rPr>
      </w:r>
    </w:p>
    <w:p>
      <w:pPr>
        <w:ind w:firstLine="851"/>
        <w:jc w:val="both"/>
        <w:shd w:val="clear" w:color="auto" w:fill="ffffff"/>
        <w:rPr>
          <w:lang w:eastAsia="ar-SA"/>
        </w:rPr>
      </w:pPr>
      <w:r>
        <w:rPr>
          <w:lang w:eastAsia="ar-SA"/>
        </w:rPr>
        <w:t xml:space="preserve">17.10. Договор в соответствии со ст. 431 ГК РФ подлежит толкованию с учетом буквального значения содержащихся в нем слов и выражений.</w:t>
      </w:r>
      <w:r>
        <w:rPr>
          <w:lang w:eastAsia="ar-SA"/>
        </w:rPr>
      </w:r>
      <w:r>
        <w:rPr>
          <w:lang w:eastAsia="ar-SA"/>
        </w:rPr>
      </w:r>
    </w:p>
    <w:p>
      <w:pPr>
        <w:ind w:firstLine="851"/>
        <w:jc w:val="both"/>
        <w:shd w:val="clear" w:color="auto" w:fill="ffffff"/>
        <w:rPr>
          <w:lang w:eastAsia="ar-SA"/>
        </w:rPr>
      </w:pPr>
      <w:r>
        <w:rPr>
          <w:lang w:eastAsia="ar-SA"/>
        </w:rPr>
      </w:r>
      <w:r>
        <w:rPr>
          <w:lang w:eastAsia="ar-SA"/>
        </w:rPr>
      </w:r>
      <w:r>
        <w:rPr>
          <w:lang w:eastAsia="ar-SA"/>
        </w:rPr>
      </w:r>
    </w:p>
    <w:p>
      <w:pPr>
        <w:pStyle w:val="1761"/>
        <w:numPr>
          <w:ilvl w:val="0"/>
          <w:numId w:val="27"/>
        </w:numPr>
        <w:ind w:left="0" w:firstLine="0"/>
        <w:jc w:val="center"/>
        <w:spacing w:after="0" w:line="240" w:lineRule="auto"/>
        <w:shd w:val="clear" w:color="auto" w:fill="ffffff"/>
        <w:rPr>
          <w:rFonts w:ascii="Times New Roman" w:hAnsi="Times New Roman"/>
          <w:b/>
          <w:bCs/>
          <w:color w:val="000000"/>
          <w:sz w:val="24"/>
          <w:szCs w:val="24"/>
        </w:rPr>
      </w:pPr>
      <w:r>
        <w:rPr>
          <w:rFonts w:ascii="Times New Roman" w:hAnsi="Times New Roman"/>
          <w:b/>
          <w:bCs/>
          <w:color w:val="000000"/>
          <w:sz w:val="24"/>
          <w:szCs w:val="24"/>
        </w:rPr>
        <w:t xml:space="preserve">Перечень документов, прила</w:t>
      </w:r>
      <w:r>
        <w:rPr>
          <w:rFonts w:ascii="Times New Roman" w:hAnsi="Times New Roman"/>
          <w:b/>
          <w:bCs/>
          <w:color w:val="000000"/>
          <w:sz w:val="24"/>
          <w:szCs w:val="24"/>
        </w:rPr>
        <w:t xml:space="preserve">гаемых к Договору</w:t>
      </w:r>
      <w:r>
        <w:rPr>
          <w:rFonts w:ascii="Times New Roman" w:hAnsi="Times New Roman"/>
          <w:b/>
          <w:bCs/>
          <w:color w:val="000000"/>
          <w:sz w:val="24"/>
          <w:szCs w:val="24"/>
        </w:rPr>
      </w:r>
      <w:r>
        <w:rPr>
          <w:rFonts w:ascii="Times New Roman" w:hAnsi="Times New Roman"/>
          <w:b/>
          <w:bCs/>
          <w:color w:val="000000"/>
          <w:sz w:val="24"/>
          <w:szCs w:val="24"/>
        </w:rPr>
      </w:r>
    </w:p>
    <w:p>
      <w:pPr>
        <w:pStyle w:val="1761"/>
        <w:ind w:left="0"/>
        <w:spacing w:after="0" w:line="240" w:lineRule="auto"/>
        <w:rPr>
          <w:rFonts w:ascii="Times New Roman" w:hAnsi="Times New Roman"/>
          <w:sz w:val="24"/>
          <w:szCs w:val="24"/>
          <w:lang w:eastAsia="ar-SA"/>
        </w:rPr>
      </w:pPr>
      <w:r>
        <w:rPr>
          <w:rFonts w:ascii="Times New Roman" w:hAnsi="Times New Roman"/>
          <w:sz w:val="24"/>
          <w:szCs w:val="24"/>
          <w:lang w:eastAsia="ar-SA"/>
        </w:rPr>
        <w:t xml:space="preserve">1.  Техническое задание (Приложение № 1).</w:t>
      </w:r>
      <w:r>
        <w:rPr>
          <w:rFonts w:ascii="Times New Roman" w:hAnsi="Times New Roman"/>
          <w:sz w:val="24"/>
          <w:szCs w:val="24"/>
          <w:lang w:eastAsia="ar-SA"/>
        </w:rPr>
      </w:r>
      <w:r>
        <w:rPr>
          <w:rFonts w:ascii="Times New Roman" w:hAnsi="Times New Roman"/>
          <w:sz w:val="24"/>
          <w:szCs w:val="24"/>
          <w:lang w:eastAsia="ar-SA"/>
        </w:rPr>
      </w:r>
    </w:p>
    <w:p>
      <w:pPr>
        <w:pStyle w:val="1761"/>
        <w:ind w:left="0"/>
        <w:spacing w:after="0" w:line="240" w:lineRule="auto"/>
        <w:rPr>
          <w:rFonts w:ascii="Times New Roman" w:hAnsi="Times New Roman"/>
          <w:sz w:val="24"/>
          <w:szCs w:val="24"/>
          <w:lang w:eastAsia="ar-SA"/>
        </w:rPr>
      </w:pPr>
      <w:r>
        <w:rPr>
          <w:rFonts w:ascii="Times New Roman" w:hAnsi="Times New Roman"/>
          <w:sz w:val="24"/>
          <w:szCs w:val="24"/>
          <w:lang w:eastAsia="ar-SA"/>
        </w:rPr>
        <w:t xml:space="preserve">2.  Календарный план (Приложение № 2).</w:t>
      </w:r>
      <w:r>
        <w:rPr>
          <w:rFonts w:ascii="Times New Roman" w:hAnsi="Times New Roman"/>
          <w:sz w:val="24"/>
          <w:szCs w:val="24"/>
          <w:lang w:eastAsia="ar-SA"/>
        </w:rPr>
      </w:r>
      <w:r>
        <w:rPr>
          <w:rFonts w:ascii="Times New Roman" w:hAnsi="Times New Roman"/>
          <w:sz w:val="24"/>
          <w:szCs w:val="24"/>
          <w:lang w:eastAsia="ar-SA"/>
        </w:rPr>
      </w:r>
    </w:p>
    <w:p>
      <w:pPr>
        <w:pStyle w:val="1761"/>
        <w:ind w:left="0"/>
        <w:jc w:val="both"/>
        <w:spacing w:after="0" w:line="240" w:lineRule="auto"/>
        <w:rPr>
          <w:rFonts w:ascii="Times New Roman" w:hAnsi="Times New Roman"/>
          <w:sz w:val="24"/>
          <w:szCs w:val="24"/>
          <w:lang w:eastAsia="ar-SA"/>
        </w:rPr>
      </w:pPr>
      <w:r>
        <w:rPr>
          <w:rFonts w:ascii="Times New Roman" w:hAnsi="Times New Roman"/>
          <w:sz w:val="24"/>
          <w:szCs w:val="24"/>
          <w:lang w:eastAsia="ar-SA"/>
        </w:rPr>
        <w:t xml:space="preserve">3.  Расчет стоимости строительства (Приложение № 3).</w:t>
      </w:r>
      <w:r>
        <w:rPr>
          <w:rFonts w:ascii="Times New Roman" w:hAnsi="Times New Roman"/>
          <w:sz w:val="24"/>
          <w:szCs w:val="24"/>
          <w:lang w:eastAsia="ar-SA"/>
        </w:rPr>
      </w:r>
      <w:r>
        <w:rPr>
          <w:rFonts w:ascii="Times New Roman" w:hAnsi="Times New Roman"/>
          <w:sz w:val="24"/>
          <w:szCs w:val="24"/>
          <w:lang w:eastAsia="ar-SA"/>
        </w:rPr>
      </w:r>
    </w:p>
    <w:p>
      <w:pPr>
        <w:pStyle w:val="1761"/>
        <w:ind w:left="0"/>
        <w:jc w:val="both"/>
        <w:spacing w:after="0" w:line="240" w:lineRule="auto"/>
        <w:tabs>
          <w:tab w:val="left" w:pos="0" w:leader="none"/>
        </w:tabs>
        <w:rPr>
          <w:rFonts w:ascii="Times New Roman" w:hAnsi="Times New Roman"/>
          <w:sz w:val="24"/>
          <w:szCs w:val="24"/>
          <w:lang w:eastAsia="ar-SA"/>
        </w:rPr>
      </w:pPr>
      <w:r>
        <w:rPr>
          <w:rFonts w:ascii="Times New Roman" w:hAnsi="Times New Roman"/>
          <w:sz w:val="24"/>
          <w:szCs w:val="24"/>
          <w:lang w:eastAsia="ar-SA"/>
        </w:rPr>
        <w:t xml:space="preserve">4. Анкета об установлении признака взаимозависимости юридических/физических лиц (Приложение № 4</w:t>
      </w:r>
      <w:bookmarkStart w:id="0" w:name="_GoBack"/>
      <w:r/>
      <w:bookmarkEnd w:id="0"/>
      <w:r>
        <w:rPr>
          <w:rFonts w:ascii="Times New Roman" w:hAnsi="Times New Roman"/>
          <w:sz w:val="24"/>
          <w:szCs w:val="24"/>
          <w:lang w:eastAsia="ar-SA"/>
        </w:rPr>
        <w:t xml:space="preserve">)</w:t>
      </w:r>
      <w:r>
        <w:rPr>
          <w:rFonts w:ascii="Times New Roman" w:hAnsi="Times New Roman"/>
          <w:sz w:val="24"/>
          <w:szCs w:val="24"/>
          <w:lang w:eastAsia="ar-SA"/>
        </w:rPr>
        <w:t xml:space="preserve">.</w:t>
      </w:r>
      <w:r>
        <w:rPr>
          <w:rFonts w:ascii="Times New Roman" w:hAnsi="Times New Roman"/>
          <w:sz w:val="24"/>
          <w:szCs w:val="24"/>
          <w:lang w:eastAsia="ar-SA"/>
        </w:rPr>
      </w:r>
      <w:r>
        <w:rPr>
          <w:rFonts w:ascii="Times New Roman" w:hAnsi="Times New Roman"/>
          <w:sz w:val="24"/>
          <w:szCs w:val="24"/>
          <w:lang w:eastAsia="ar-SA"/>
        </w:rPr>
      </w:r>
    </w:p>
    <w:p>
      <w:pPr>
        <w:pStyle w:val="1761"/>
        <w:ind w:left="0"/>
        <w:jc w:val="both"/>
        <w:spacing w:after="0" w:line="240" w:lineRule="auto"/>
        <w:tabs>
          <w:tab w:val="left" w:pos="0" w:leader="none"/>
        </w:tabs>
        <w:rPr>
          <w:rFonts w:ascii="Times New Roman" w:hAnsi="Times New Roman"/>
          <w:bCs/>
          <w:iCs/>
          <w:sz w:val="24"/>
          <w:szCs w:val="24"/>
        </w:rPr>
      </w:pPr>
      <w:r>
        <w:rPr>
          <w:rFonts w:ascii="Times New Roman" w:hAnsi="Times New Roman"/>
          <w:sz w:val="24"/>
          <w:szCs w:val="24"/>
          <w:lang w:eastAsia="ar-SA"/>
        </w:rPr>
        <w:t xml:space="preserve">5. </w:t>
      </w:r>
      <w:r>
        <w:rPr>
          <w:rFonts w:ascii="Times New Roman" w:hAnsi="Times New Roman"/>
          <w:bCs/>
          <w:iCs/>
          <w:sz w:val="24"/>
          <w:szCs w:val="24"/>
        </w:rPr>
        <w:t xml:space="preserve">Договор комбинированного страхования строительно-монтажных рисков (Приложение №5 ФОРМА).</w:t>
      </w:r>
      <w:r>
        <w:rPr>
          <w:rFonts w:ascii="Times New Roman" w:hAnsi="Times New Roman"/>
          <w:bCs/>
          <w:iCs/>
          <w:sz w:val="24"/>
          <w:szCs w:val="24"/>
        </w:rPr>
      </w:r>
      <w:r>
        <w:rPr>
          <w:rFonts w:ascii="Times New Roman" w:hAnsi="Times New Roman"/>
          <w:bCs/>
          <w:iCs/>
          <w:sz w:val="24"/>
          <w:szCs w:val="24"/>
        </w:rPr>
      </w:r>
    </w:p>
    <w:p>
      <w:pPr>
        <w:pStyle w:val="1761"/>
        <w:ind w:left="0"/>
        <w:jc w:val="both"/>
        <w:spacing w:after="0" w:line="240" w:lineRule="auto"/>
        <w:tabs>
          <w:tab w:val="left" w:pos="0" w:leader="none"/>
        </w:tabs>
        <w:rPr>
          <w:rFonts w:ascii="Times New Roman" w:hAnsi="Times New Roman"/>
          <w:sz w:val="24"/>
          <w:szCs w:val="24"/>
          <w:lang w:eastAsia="ar-SA"/>
        </w:rPr>
      </w:pPr>
      <w:r>
        <w:rPr>
          <w:rFonts w:ascii="Times New Roman" w:hAnsi="Times New Roman"/>
          <w:sz w:val="24"/>
          <w:szCs w:val="24"/>
          <w:lang w:eastAsia="ar-SA"/>
        </w:rPr>
        <w:t xml:space="preserve">6. Форма предоставления информации о цепочке собственников контрагента, в том числе для третьих лиц при их привлечении (включая конечных бенефициаров) (Приложение №</w:t>
      </w:r>
      <w:r>
        <w:rPr>
          <w:rFonts w:ascii="Times New Roman" w:hAnsi="Times New Roman"/>
          <w:sz w:val="24"/>
          <w:szCs w:val="24"/>
          <w:lang w:eastAsia="ar-SA"/>
        </w:rPr>
        <w:t xml:space="preserve">6</w:t>
      </w:r>
      <w:r>
        <w:rPr>
          <w:rFonts w:ascii="Times New Roman" w:hAnsi="Times New Roman"/>
          <w:sz w:val="24"/>
          <w:szCs w:val="24"/>
          <w:lang w:eastAsia="ar-SA"/>
        </w:rPr>
        <w:t xml:space="preserve">) .</w:t>
      </w:r>
      <w:r>
        <w:rPr>
          <w:rFonts w:ascii="Times New Roman" w:hAnsi="Times New Roman"/>
          <w:sz w:val="24"/>
          <w:szCs w:val="24"/>
          <w:lang w:eastAsia="ar-SA"/>
        </w:rPr>
      </w:r>
      <w:r>
        <w:rPr>
          <w:rFonts w:ascii="Times New Roman" w:hAnsi="Times New Roman"/>
          <w:sz w:val="24"/>
          <w:szCs w:val="24"/>
          <w:lang w:eastAsia="ar-SA"/>
        </w:rPr>
      </w:r>
    </w:p>
    <w:p>
      <w:pPr>
        <w:pStyle w:val="1761"/>
        <w:ind w:left="0"/>
        <w:jc w:val="both"/>
        <w:spacing w:after="0" w:line="240" w:lineRule="auto"/>
        <w:tabs>
          <w:tab w:val="left" w:pos="0" w:leader="none"/>
        </w:tabs>
        <w:rPr>
          <w:rFonts w:ascii="Times New Roman" w:hAnsi="Times New Roman"/>
          <w:sz w:val="24"/>
          <w:szCs w:val="24"/>
          <w:lang w:eastAsia="ar-SA"/>
        </w:rPr>
      </w:pPr>
      <w:r>
        <w:rPr>
          <w:rFonts w:ascii="Times New Roman" w:hAnsi="Times New Roman"/>
          <w:sz w:val="24"/>
          <w:szCs w:val="24"/>
          <w:lang w:eastAsia="ar-SA"/>
        </w:rPr>
        <w:t xml:space="preserve">7. Форма «Согласие на обработку персональных данных» (Приложение № 7).</w:t>
      </w:r>
      <w:r>
        <w:rPr>
          <w:rFonts w:ascii="Times New Roman" w:hAnsi="Times New Roman"/>
          <w:sz w:val="24"/>
          <w:szCs w:val="24"/>
          <w:lang w:eastAsia="ar-SA"/>
        </w:rPr>
      </w:r>
      <w:r>
        <w:rPr>
          <w:rFonts w:ascii="Times New Roman" w:hAnsi="Times New Roman"/>
          <w:sz w:val="24"/>
          <w:szCs w:val="24"/>
          <w:lang w:eastAsia="ar-SA"/>
        </w:rPr>
      </w:r>
    </w:p>
    <w:p>
      <w:pPr>
        <w:jc w:val="both"/>
        <w:rPr>
          <w:lang w:eastAsia="ar-SA"/>
        </w:rPr>
      </w:pPr>
      <w:r>
        <w:rPr>
          <w:lang w:eastAsia="ar-SA"/>
        </w:rPr>
        <w:t xml:space="preserve">8. Форма акта сдачи-приемки проектных </w:t>
      </w:r>
      <w:r>
        <w:rPr>
          <w:i/>
          <w:lang w:eastAsia="ar-SA"/>
        </w:rPr>
        <w:t xml:space="preserve">и изыскательских</w:t>
      </w:r>
      <w:r>
        <w:rPr>
          <w:lang w:eastAsia="ar-SA"/>
        </w:rPr>
        <w:t xml:space="preserve"> работ (Приложение №8).</w:t>
      </w:r>
      <w:r>
        <w:rPr>
          <w:lang w:eastAsia="ar-SA"/>
        </w:rPr>
      </w:r>
      <w:r>
        <w:rPr>
          <w:lang w:eastAsia="ar-SA"/>
        </w:rPr>
      </w:r>
    </w:p>
    <w:p>
      <w:pPr>
        <w:jc w:val="both"/>
        <w:rPr>
          <w:i/>
          <w:lang w:eastAsia="ar-SA"/>
        </w:rPr>
      </w:pPr>
      <w:r>
        <w:rPr>
          <w:i w:val="0"/>
          <w:iCs w:val="0"/>
          <w:lang w:eastAsia="ar-SA"/>
        </w:rPr>
        <w:t xml:space="preserve">9. </w:t>
      </w:r>
      <w:r>
        <w:rPr>
          <w:lang w:eastAsia="ar-SA"/>
        </w:rPr>
        <w:t xml:space="preserve">Форма акта </w:t>
      </w:r>
      <w:r>
        <w:t xml:space="preserve">о приемке выполненных проектных ра</w:t>
      </w:r>
      <w:r>
        <w:t xml:space="preserve">бот и передаче прав</w:t>
      </w:r>
      <w:r>
        <w:rPr>
          <w:lang w:eastAsia="ar-SA"/>
        </w:rPr>
        <w:t xml:space="preserve"> </w:t>
      </w:r>
      <w:r>
        <w:t xml:space="preserve">по Договору </w:t>
      </w:r>
      <w:r>
        <w:rPr>
          <w:lang w:eastAsia="ar-SA"/>
        </w:rPr>
        <w:t xml:space="preserve">(Приложение №9).</w:t>
      </w:r>
      <w:r>
        <w:rPr>
          <w:i/>
          <w:lang w:eastAsia="ar-SA"/>
        </w:rPr>
      </w:r>
      <w:r>
        <w:rPr>
          <w:i/>
          <w:lang w:eastAsia="ar-SA"/>
        </w:rPr>
      </w:r>
    </w:p>
    <w:p>
      <w:pPr>
        <w:jc w:val="both"/>
        <w:rPr>
          <w:lang w:eastAsia="ar-SA"/>
        </w:rPr>
      </w:pPr>
      <w:r>
        <w:rPr>
          <w:lang w:eastAsia="ar-SA"/>
        </w:rPr>
        <w:t xml:space="preserve">10. Договор поручительства (Приложение № 10 ФОРМА).</w:t>
      </w:r>
      <w:r>
        <w:rPr>
          <w:lang w:eastAsia="ar-SA"/>
        </w:rPr>
      </w:r>
      <w:r>
        <w:rPr>
          <w:lang w:eastAsia="ar-SA"/>
        </w:rPr>
      </w:r>
    </w:p>
    <w:p>
      <w:pPr>
        <w:jc w:val="both"/>
      </w:pPr>
      <w:r>
        <w:rPr>
          <w:lang w:eastAsia="ar-SA"/>
        </w:rPr>
        <w:t xml:space="preserve">11. </w:t>
      </w:r>
      <w:r>
        <w:t xml:space="preserve">Декларация (Приложение № 11 Форма).</w:t>
      </w:r>
      <w:r/>
    </w:p>
    <w:p>
      <w:r>
        <w:t xml:space="preserve">12. Согласие субъекта на обработку персональных данных для физических лиц </w:t>
      </w:r>
      <w:r>
        <w:t xml:space="preserve">(Приложение № 12 Форма).</w:t>
      </w:r>
      <w:r/>
    </w:p>
    <w:p>
      <w:r>
        <w:t xml:space="preserve">13. Соглашени</w:t>
      </w:r>
      <w:r>
        <w:t xml:space="preserve">е о конфиденциальности (Приложение № 13 Форма).</w:t>
      </w:r>
      <w:r/>
    </w:p>
    <w:p>
      <w:pPr>
        <w:rPr>
          <w:lang w:eastAsia="ar-SA"/>
        </w:rPr>
      </w:pPr>
      <w:r>
        <w:t xml:space="preserve">14. </w:t>
      </w:r>
      <w:r>
        <w:rPr>
          <w:lang w:eastAsia="ar-SA"/>
        </w:rPr>
        <w:t xml:space="preserve">Акт прочих затрат (Приложение № 14 Форма)</w:t>
      </w:r>
      <w:r>
        <w:rPr>
          <w:lang w:eastAsia="ar-SA"/>
        </w:rPr>
      </w:r>
      <w:r>
        <w:rPr>
          <w:lang w:eastAsia="ar-SA"/>
        </w:rPr>
      </w:r>
    </w:p>
    <w:p>
      <w:pPr>
        <w:pStyle w:val="1761"/>
        <w:ind w:left="0"/>
        <w:rPr>
          <w:rFonts w:ascii="Times New Roman" w:hAnsi="Times New Roman"/>
          <w:sz w:val="24"/>
          <w:szCs w:val="24"/>
        </w:rPr>
      </w:pPr>
      <w:r>
        <w:rPr>
          <w:rFonts w:ascii="Times New Roman" w:hAnsi="Times New Roman"/>
          <w:sz w:val="24"/>
          <w:szCs w:val="24"/>
        </w:rPr>
        <w:t xml:space="preserve">15. Порядок и условия предоставления обеспечения (Приложение №15)</w:t>
      </w:r>
      <w:r>
        <w:rPr>
          <w:rFonts w:ascii="Times New Roman" w:hAnsi="Times New Roman"/>
          <w:sz w:val="24"/>
          <w:szCs w:val="24"/>
        </w:rPr>
      </w:r>
      <w:r>
        <w:rPr>
          <w:rFonts w:ascii="Times New Roman" w:hAnsi="Times New Roman"/>
          <w:sz w:val="24"/>
          <w:szCs w:val="24"/>
        </w:rPr>
      </w:r>
    </w:p>
    <w:p>
      <w:pPr>
        <w:pStyle w:val="1761"/>
        <w:ind w:left="0"/>
        <w:rPr>
          <w:rFonts w:ascii="Times New Roman" w:hAnsi="Times New Roman"/>
          <w:sz w:val="24"/>
          <w:szCs w:val="24"/>
        </w:rPr>
      </w:pPr>
      <w:r>
        <w:rPr>
          <w:rFonts w:ascii="Times New Roman" w:hAnsi="Times New Roman"/>
          <w:sz w:val="24"/>
          <w:szCs w:val="24"/>
        </w:rPr>
        <w:t xml:space="preserve">16. Акт приема-передачи работ в полном объеме (Приложение № 16</w:t>
      </w:r>
      <w:r>
        <w:rPr>
          <w:rStyle w:val="1763"/>
          <w:rFonts w:ascii="Times New Roman" w:hAnsi="Times New Roman"/>
          <w:sz w:val="24"/>
          <w:szCs w:val="24"/>
        </w:rPr>
        <w:footnoteReference w:id="42"/>
      </w: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p>
      <w:pPr>
        <w:pStyle w:val="1761"/>
        <w:ind w:left="0"/>
        <w:rPr>
          <w:rFonts w:ascii="Times New Roman" w:hAnsi="Times New Roman"/>
          <w:sz w:val="24"/>
          <w:szCs w:val="24"/>
          <w:highlight w:val="white"/>
        </w:rPr>
      </w:pPr>
      <w:r>
        <w:rPr>
          <w:rFonts w:ascii="Times New Roman" w:hAnsi="Times New Roman"/>
          <w:sz w:val="24"/>
          <w:szCs w:val="24"/>
          <w:highlight w:val="white"/>
        </w:rPr>
        <w:t xml:space="preserve">1</w:t>
      </w:r>
      <w:r>
        <w:rPr>
          <w:rFonts w:ascii="Times New Roman" w:hAnsi="Times New Roman"/>
          <w:sz w:val="24"/>
          <w:szCs w:val="24"/>
          <w:highlight w:val="white"/>
        </w:rPr>
        <w:t xml:space="preserve">7. </w:t>
      </w:r>
      <w:r>
        <w:rPr>
          <w:rFonts w:ascii="Times New Roman" w:hAnsi="Times New Roman"/>
          <w:sz w:val="24"/>
          <w:szCs w:val="20"/>
          <w:highlight w:val="white"/>
          <w:lang w:eastAsia="ar-SA"/>
        </w:rPr>
        <w:t xml:space="preserve">Порядок и условия предостав</w:t>
      </w:r>
      <w:r>
        <w:rPr>
          <w:rFonts w:ascii="Times New Roman" w:hAnsi="Times New Roman"/>
          <w:sz w:val="24"/>
          <w:szCs w:val="20"/>
          <w:highlight w:val="white"/>
          <w:lang w:eastAsia="ar-SA"/>
        </w:rPr>
        <w:t xml:space="preserve">ления гарантийного депозита (Приложение №17</w:t>
      </w:r>
      <w:r>
        <w:rPr>
          <w:rFonts w:ascii="Times New Roman" w:hAnsi="Times New Roman"/>
          <w:sz w:val="24"/>
          <w:szCs w:val="20"/>
          <w:highlight w:val="white"/>
          <w:vertAlign w:val="superscript"/>
          <w:lang w:eastAsia="ar-SA"/>
        </w:rPr>
        <w:footnoteReference w:id="43"/>
      </w:r>
      <w:r>
        <w:rPr>
          <w:rFonts w:ascii="Times New Roman" w:hAnsi="Times New Roman"/>
          <w:sz w:val="24"/>
          <w:szCs w:val="20"/>
          <w:highlight w:val="white"/>
          <w:lang w:eastAsia="ar-SA"/>
        </w:rPr>
        <w:t xml:space="preserve">)</w:t>
      </w:r>
      <w:r>
        <w:rPr>
          <w:rFonts w:ascii="Times New Roman" w:hAnsi="Times New Roman"/>
          <w:sz w:val="24"/>
          <w:szCs w:val="24"/>
          <w:highlight w:val="white"/>
        </w:rPr>
      </w:r>
      <w:r>
        <w:rPr>
          <w:rFonts w:ascii="Times New Roman" w:hAnsi="Times New Roman"/>
          <w:sz w:val="24"/>
          <w:szCs w:val="24"/>
          <w:highlight w:val="white"/>
        </w:rPr>
      </w:r>
    </w:p>
    <w:p>
      <w:pPr>
        <w:pStyle w:val="1761"/>
        <w:ind w:left="0"/>
        <w:rPr>
          <w:rFonts w:ascii="Times New Roman" w:hAnsi="Times New Roman" w:cs="Times New Roman"/>
          <w:sz w:val="24"/>
          <w:szCs w:val="24"/>
          <w:highlight w:val="white"/>
        </w:rPr>
      </w:pPr>
      <w:r>
        <w:rPr>
          <w:rFonts w:ascii="Times New Roman" w:hAnsi="Times New Roman"/>
          <w:sz w:val="24"/>
          <w:szCs w:val="24"/>
          <w:highlight w:val="white"/>
        </w:rPr>
        <w:t xml:space="preserve">18. </w:t>
      </w:r>
      <w:r>
        <w:rPr>
          <w:rFonts w:ascii="Times New Roman" w:hAnsi="Times New Roman" w:eastAsia="Times New Roman" w:cs="Times New Roman"/>
          <w:sz w:val="24"/>
          <w:szCs w:val="24"/>
          <w:highlight w:val="white"/>
        </w:rPr>
        <w:t xml:space="preserve">Т</w:t>
      </w:r>
      <w:r>
        <w:rPr>
          <w:rFonts w:ascii="Times New Roman" w:hAnsi="Times New Roman" w:eastAsia="Times New Roman" w:cs="Times New Roman"/>
          <w:sz w:val="24"/>
          <w:szCs w:val="24"/>
          <w:highlight w:val="white"/>
        </w:rPr>
        <w:t xml:space="preserve">ребо</w:t>
      </w:r>
      <w:r>
        <w:rPr>
          <w:rFonts w:ascii="Times New Roman" w:hAnsi="Times New Roman" w:eastAsia="Times New Roman" w:cs="Times New Roman"/>
          <w:sz w:val="24"/>
          <w:szCs w:val="24"/>
          <w:highlight w:val="white"/>
        </w:rPr>
        <w:t xml:space="preserve">вания при реализации удаленного доступа к ИТ – и</w:t>
      </w:r>
      <w:r>
        <w:rPr>
          <w:rFonts w:ascii="Times New Roman" w:hAnsi="Times New Roman" w:eastAsia="Times New Roman" w:cs="Times New Roman"/>
          <w:sz w:val="24"/>
          <w:szCs w:val="24"/>
          <w:highlight w:val="white"/>
        </w:rPr>
        <w:t xml:space="preserve">нфраструктуре (Приложение №18</w:t>
      </w:r>
      <w:r>
        <w:rPr>
          <w:rStyle w:val="1763"/>
          <w:rFonts w:ascii="Times New Roman" w:hAnsi="Times New Roman" w:eastAsia="Times New Roman" w:cs="Times New Roman"/>
          <w:sz w:val="24"/>
          <w:szCs w:val="24"/>
          <w:highlight w:val="white"/>
        </w:rPr>
        <w:footnoteReference w:id="44"/>
      </w:r>
      <w:r>
        <w:rPr>
          <w:rFonts w:ascii="Times New Roman" w:hAnsi="Times New Roman" w:eastAsia="Times New Roman" w:cs="Times New Roman"/>
          <w:sz w:val="24"/>
          <w:szCs w:val="24"/>
          <w:highlight w:val="white"/>
        </w:rPr>
        <w:t xml:space="preserve">)</w:t>
      </w:r>
      <w:r>
        <w:rPr>
          <w:rFonts w:ascii="Times New Roman" w:hAnsi="Times New Roman" w:cs="Times New Roman"/>
          <w:sz w:val="24"/>
          <w:szCs w:val="24"/>
          <w:highlight w:val="white"/>
        </w:rPr>
      </w:r>
      <w:r>
        <w:rPr>
          <w:rFonts w:ascii="Times New Roman" w:hAnsi="Times New Roman" w:cs="Times New Roman"/>
          <w:sz w:val="24"/>
          <w:szCs w:val="24"/>
          <w:highlight w:val="white"/>
        </w:rPr>
      </w:r>
    </w:p>
    <w:p>
      <w:r/>
      <w:r/>
    </w:p>
    <w:p>
      <w:pPr>
        <w:jc w:val="both"/>
        <w:rPr>
          <w:lang w:eastAsia="ar-SA"/>
        </w:rPr>
      </w:pPr>
      <w:r>
        <w:rPr>
          <w:lang w:eastAsia="ar-SA"/>
        </w:rPr>
      </w:r>
      <w:r>
        <w:rPr>
          <w:lang w:eastAsia="ar-SA"/>
        </w:rPr>
      </w:r>
      <w:r>
        <w:rPr>
          <w:lang w:eastAsia="ar-SA"/>
        </w:rPr>
      </w:r>
    </w:p>
    <w:p>
      <w:pPr>
        <w:numPr>
          <w:ilvl w:val="0"/>
          <w:numId w:val="35"/>
        </w:numPr>
        <w:ind w:left="0" w:firstLine="0"/>
        <w:jc w:val="center"/>
        <w:shd w:val="clear" w:color="auto" w:fill="ffffff"/>
        <w:rPr>
          <w:b/>
          <w:bCs/>
          <w:color w:val="000000"/>
        </w:rPr>
      </w:pPr>
      <w:r>
        <w:rPr>
          <w:b/>
          <w:bCs/>
          <w:color w:val="000000"/>
        </w:rPr>
        <w:t xml:space="preserve">Адреса, реквизиты и подписи Сторон:</w:t>
      </w:r>
      <w:r>
        <w:rPr>
          <w:b/>
          <w:bCs/>
          <w:color w:val="000000"/>
        </w:rPr>
      </w:r>
      <w:r>
        <w:rPr>
          <w:b/>
          <w:bCs/>
          <w:color w:val="000000"/>
        </w:rPr>
      </w:r>
    </w:p>
    <w:p>
      <w:pPr>
        <w:rPr>
          <w:b/>
          <w:color w:val="000000"/>
        </w:rPr>
      </w:pPr>
      <w:r>
        <w:rPr>
          <w:b/>
          <w:color w:val="000000"/>
        </w:rPr>
        <w:t xml:space="preserve">Заказчик:                                                   </w:t>
      </w:r>
      <w:r>
        <w:rPr>
          <w:b/>
          <w:color w:val="000000"/>
        </w:rPr>
      </w:r>
      <w:r>
        <w:rPr>
          <w:b/>
          <w:color w:val="000000"/>
        </w:rPr>
      </w:r>
    </w:p>
    <w:p>
      <w:pPr>
        <w:rPr>
          <w:b/>
          <w:color w:val="000000"/>
        </w:rPr>
      </w:pPr>
      <w:r>
        <w:rPr>
          <w:b/>
          <w:color w:val="000000"/>
        </w:rPr>
      </w:r>
      <w:r>
        <w:rPr>
          <w:b/>
          <w:color w:val="000000"/>
        </w:rPr>
      </w:r>
      <w:r>
        <w:rPr>
          <w:b/>
          <w:color w:val="000000"/>
        </w:rPr>
      </w:r>
    </w:p>
    <w:p>
      <w:pPr>
        <w:rPr>
          <w:color w:val="000000"/>
        </w:rPr>
      </w:pPr>
      <w:r>
        <w:rPr>
          <w:b/>
          <w:color w:val="000000"/>
        </w:rPr>
        <w:t xml:space="preserve">Подрядчик:</w:t>
      </w:r>
      <w:r>
        <w:rPr>
          <w:color w:val="000000"/>
        </w:rPr>
      </w:r>
      <w:r>
        <w:rPr>
          <w:color w:val="000000"/>
        </w:rPr>
      </w:r>
    </w:p>
    <w:p>
      <w:pPr>
        <w:jc w:val="both"/>
        <w:rPr>
          <w:color w:val="000000"/>
        </w:rPr>
      </w:pPr>
      <w:r>
        <w:rPr>
          <w:color w:val="000000"/>
        </w:rPr>
        <w:t xml:space="preserve">____________________________, ИНН _________________КПП__________________.</w:t>
      </w:r>
      <w:r>
        <w:rPr>
          <w:color w:val="000000"/>
        </w:rPr>
      </w:r>
      <w:r>
        <w:rPr>
          <w:color w:val="000000"/>
        </w:rPr>
      </w:r>
    </w:p>
    <w:p>
      <w:pPr>
        <w:jc w:val="both"/>
        <w:rPr>
          <w:color w:val="000000"/>
        </w:rPr>
      </w:pPr>
      <w:r>
        <w:rPr>
          <w:color w:val="000000"/>
        </w:rPr>
        <w:t xml:space="preserve">Адрес по учредительным документам: __________, фактический адрес: ____________, </w:t>
      </w:r>
      <w:r>
        <w:rPr>
          <w:color w:val="000000"/>
        </w:rPr>
      </w:r>
      <w:r>
        <w:rPr>
          <w:color w:val="000000"/>
        </w:rPr>
      </w:r>
    </w:p>
    <w:p>
      <w:pPr>
        <w:jc w:val="both"/>
        <w:rPr>
          <w:color w:val="000000"/>
        </w:rPr>
      </w:pPr>
      <w:r>
        <w:rPr>
          <w:color w:val="000000"/>
        </w:rPr>
        <w:t xml:space="preserve">Тел.:_</w:t>
      </w:r>
      <w:r>
        <w:rPr>
          <w:color w:val="000000"/>
        </w:rPr>
        <w:t xml:space="preserve">____________________________Факс:____________________________________.</w:t>
      </w:r>
      <w:r>
        <w:rPr>
          <w:color w:val="000000"/>
        </w:rPr>
      </w:r>
      <w:r>
        <w:rPr>
          <w:color w:val="000000"/>
        </w:rPr>
      </w:r>
    </w:p>
    <w:p>
      <w:pPr>
        <w:jc w:val="both"/>
        <w:rPr>
          <w:color w:val="000000"/>
        </w:rPr>
      </w:pPr>
      <w:r>
        <w:rPr>
          <w:color w:val="000000"/>
        </w:rPr>
        <w:t xml:space="preserve">р/с _____________________________в ________________________________________; </w:t>
      </w:r>
      <w:r>
        <w:rPr>
          <w:color w:val="000000"/>
        </w:rPr>
      </w:r>
      <w:r>
        <w:rPr>
          <w:color w:val="000000"/>
        </w:rPr>
      </w:r>
    </w:p>
    <w:p>
      <w:pPr>
        <w:jc w:val="both"/>
        <w:rPr>
          <w:color w:val="000000"/>
        </w:rPr>
      </w:pPr>
      <w:r>
        <w:rPr>
          <w:color w:val="000000"/>
        </w:rPr>
        <w:t xml:space="preserve">к/с ________________</w:t>
      </w:r>
      <w:r>
        <w:rPr>
          <w:color w:val="000000"/>
        </w:rPr>
        <w:t xml:space="preserve">___________________________, БИК _______________________.</w:t>
      </w:r>
      <w:r>
        <w:rPr>
          <w:color w:val="000000"/>
        </w:rPr>
      </w:r>
      <w:r>
        <w:rPr>
          <w:color w:val="000000"/>
        </w:rPr>
      </w:r>
    </w:p>
    <w:p>
      <w:pPr>
        <w:pStyle w:val="1778"/>
        <w:jc w:val="both"/>
        <w:spacing w:before="0"/>
        <w:rPr>
          <w:rFonts w:ascii="Times New Roman" w:hAnsi="Times New Roman"/>
          <w:color w:val="000000"/>
          <w:sz w:val="24"/>
          <w:szCs w:val="24"/>
        </w:rPr>
      </w:pPr>
      <w:r>
        <w:rPr>
          <w:rFonts w:ascii="Times New Roman" w:hAnsi="Times New Roman"/>
          <w:color w:val="000000"/>
          <w:sz w:val="24"/>
          <w:szCs w:val="24"/>
        </w:rPr>
        <w:t xml:space="preserve">ОКПО _______________________________, ОКВЭД ____________________________.</w:t>
      </w:r>
      <w:r>
        <w:rPr>
          <w:rFonts w:ascii="Times New Roman" w:hAnsi="Times New Roman"/>
          <w:color w:val="000000"/>
          <w:sz w:val="24"/>
          <w:szCs w:val="24"/>
        </w:rPr>
      </w:r>
      <w:r>
        <w:rPr>
          <w:rFonts w:ascii="Times New Roman" w:hAnsi="Times New Roman"/>
          <w:color w:val="000000"/>
          <w:sz w:val="24"/>
          <w:szCs w:val="24"/>
        </w:rPr>
      </w:r>
    </w:p>
    <w:p>
      <w:pPr>
        <w:pStyle w:val="1782"/>
        <w:jc w:val="both"/>
        <w:rPr>
          <w:b/>
          <w:color w:val="000000"/>
          <w:szCs w:val="24"/>
        </w:rPr>
      </w:pPr>
      <w:r>
        <w:rPr>
          <w:b/>
          <w:color w:val="000000"/>
          <w:szCs w:val="24"/>
        </w:rPr>
      </w:r>
      <w:r>
        <w:rPr>
          <w:b/>
          <w:color w:val="000000"/>
          <w:szCs w:val="24"/>
        </w:rPr>
      </w:r>
      <w:r>
        <w:rPr>
          <w:b/>
          <w:color w:val="000000"/>
          <w:szCs w:val="24"/>
        </w:rPr>
      </w:r>
    </w:p>
    <w:p>
      <w:pPr>
        <w:pStyle w:val="1782"/>
        <w:jc w:val="both"/>
        <w:rPr>
          <w:b/>
          <w:color w:val="000000"/>
          <w:szCs w:val="24"/>
        </w:rPr>
      </w:pPr>
      <w:r>
        <w:rPr>
          <w:b/>
          <w:color w:val="000000"/>
          <w:szCs w:val="24"/>
        </w:rPr>
        <w:t xml:space="preserve">Подписи и печати Сторон</w:t>
      </w:r>
      <w:r>
        <w:rPr>
          <w:b/>
          <w:color w:val="000000"/>
          <w:szCs w:val="24"/>
        </w:rPr>
      </w:r>
      <w:r>
        <w:rPr>
          <w:b/>
          <w:color w:val="000000"/>
          <w:szCs w:val="24"/>
        </w:rPr>
      </w:r>
    </w:p>
    <w:p>
      <w:pPr>
        <w:pStyle w:val="1782"/>
        <w:jc w:val="both"/>
        <w:rPr>
          <w:b/>
          <w:color w:val="000000"/>
          <w:szCs w:val="24"/>
        </w:rPr>
      </w:pPr>
      <w:r>
        <w:rPr>
          <w:b/>
          <w:color w:val="000000"/>
          <w:szCs w:val="24"/>
        </w:rPr>
      </w:r>
      <w:r>
        <w:rPr>
          <w:b/>
          <w:color w:val="000000"/>
          <w:szCs w:val="24"/>
        </w:rPr>
      </w:r>
      <w:r>
        <w:rPr>
          <w:b/>
          <w:color w:val="000000"/>
          <w:szCs w:val="24"/>
        </w:rPr>
      </w:r>
    </w:p>
    <w:p>
      <w:pPr>
        <w:pStyle w:val="1782"/>
        <w:jc w:val="both"/>
        <w:rPr>
          <w:color w:val="000000"/>
          <w:szCs w:val="24"/>
        </w:rPr>
      </w:pPr>
      <w:r>
        <w:rPr>
          <w:b/>
          <w:i/>
          <w:color w:val="000000"/>
          <w:szCs w:val="24"/>
          <w:u w:val="single"/>
        </w:rPr>
        <w:t xml:space="preserve">Заказчик</w:t>
      </w:r>
      <w:r>
        <w:rPr>
          <w:b/>
          <w:color w:val="000000"/>
          <w:szCs w:val="24"/>
        </w:rPr>
        <w:t xml:space="preserve">                                                                           </w:t>
      </w:r>
      <w:r>
        <w:rPr>
          <w:b/>
          <w:i/>
          <w:color w:val="000000"/>
          <w:szCs w:val="24"/>
          <w:u w:val="single"/>
        </w:rPr>
        <w:t xml:space="preserve">Подрядчик</w:t>
      </w:r>
      <w:r>
        <w:rPr>
          <w:color w:val="000000"/>
          <w:szCs w:val="24"/>
        </w:rPr>
        <w:t xml:space="preserve"> </w:t>
      </w:r>
      <w:r>
        <w:rPr>
          <w:color w:val="000000"/>
          <w:szCs w:val="24"/>
        </w:rPr>
      </w:r>
      <w:r>
        <w:rPr>
          <w:color w:val="000000"/>
          <w:szCs w:val="24"/>
        </w:rPr>
      </w:r>
    </w:p>
    <w:p>
      <w:pPr>
        <w:pStyle w:val="1782"/>
        <w:jc w:val="both"/>
        <w:rPr>
          <w:color w:val="000000"/>
          <w:szCs w:val="24"/>
        </w:rPr>
      </w:pPr>
      <w:r>
        <w:rPr>
          <w:color w:val="000000"/>
          <w:szCs w:val="24"/>
        </w:rPr>
      </w:r>
      <w:r>
        <w:rPr>
          <w:color w:val="000000"/>
          <w:szCs w:val="24"/>
        </w:rPr>
      </w:r>
      <w:r>
        <w:rPr>
          <w:color w:val="000000"/>
          <w:szCs w:val="24"/>
        </w:rPr>
      </w:r>
    </w:p>
    <w:p>
      <w:pPr>
        <w:pStyle w:val="1782"/>
        <w:jc w:val="both"/>
        <w:rPr>
          <w:color w:val="000000"/>
          <w:szCs w:val="24"/>
        </w:rPr>
      </w:pPr>
      <w:r>
        <w:rPr>
          <w:color w:val="000000"/>
          <w:szCs w:val="24"/>
        </w:rPr>
        <w:t xml:space="preserve">___</w:t>
      </w:r>
      <w:r>
        <w:rPr>
          <w:color w:val="000000"/>
          <w:szCs w:val="24"/>
        </w:rPr>
        <w:t xml:space="preserve">______ /_____________/                                               _________ /_____________/ </w:t>
      </w:r>
      <w:r>
        <w:rPr>
          <w:color w:val="000000"/>
          <w:szCs w:val="24"/>
        </w:rPr>
      </w:r>
      <w:r>
        <w:rPr>
          <w:color w:val="000000"/>
          <w:szCs w:val="24"/>
        </w:rPr>
      </w:r>
    </w:p>
    <w:p>
      <w:pPr>
        <w:pStyle w:val="1782"/>
        <w:jc w:val="both"/>
        <w:spacing w:line="276" w:lineRule="auto"/>
        <w:rPr>
          <w:color w:val="000000"/>
          <w:sz w:val="20"/>
        </w:rPr>
      </w:pPr>
      <w:r>
        <w:rPr>
          <w:color w:val="000000"/>
          <w:szCs w:val="24"/>
        </w:rPr>
        <w:t xml:space="preserve">М.П.            </w:t>
      </w:r>
      <w:r>
        <w:rPr>
          <w:color w:val="000000"/>
          <w:szCs w:val="24"/>
        </w:rPr>
        <w:tab/>
      </w:r>
      <w:r>
        <w:rPr>
          <w:color w:val="000000"/>
          <w:szCs w:val="24"/>
        </w:rPr>
        <w:tab/>
      </w:r>
      <w:r>
        <w:rPr>
          <w:color w:val="000000"/>
          <w:szCs w:val="24"/>
        </w:rPr>
        <w:tab/>
      </w:r>
      <w:r>
        <w:rPr>
          <w:color w:val="000000"/>
          <w:szCs w:val="24"/>
        </w:rPr>
        <w:tab/>
      </w:r>
      <w:r>
        <w:rPr>
          <w:color w:val="000000"/>
          <w:szCs w:val="24"/>
        </w:rPr>
        <w:tab/>
      </w:r>
      <w:r>
        <w:rPr>
          <w:color w:val="000000"/>
          <w:szCs w:val="24"/>
        </w:rPr>
        <w:tab/>
      </w:r>
      <w:r>
        <w:rPr>
          <w:color w:val="000000"/>
          <w:szCs w:val="24"/>
        </w:rPr>
        <w:tab/>
        <w:t xml:space="preserve">       М.П. </w:t>
      </w:r>
      <w:r>
        <w:rPr>
          <w:color w:val="000000"/>
          <w:sz w:val="20"/>
        </w:rPr>
      </w:r>
      <w:r>
        <w:rPr>
          <w:color w:val="000000"/>
          <w:sz w:val="20"/>
        </w:rPr>
      </w:r>
    </w:p>
    <w:sectPr>
      <w:headerReference w:type="default" r:id="rId9"/>
      <w:footerReference w:type="even" r:id="rId10"/>
      <w:footnotePr/>
      <w:endnotePr/>
      <w:type w:val="nextPage"/>
      <w:pgSz w:w="11905" w:h="16837" w:orient="portrait"/>
      <w:pgMar w:top="709" w:right="990" w:bottom="709" w:left="1276" w:header="709" w:footer="1134" w:gutter="0"/>
      <w:cols w:num="1" w:sep="0" w:space="720" w:equalWidth="1"/>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podolskiy.va" w:date="2026-02-04T12:51:00Z" w:initials="p">
    <w:p w14:paraId="00000001" w14:textId="00000001">
      <w:pPr>
        <w:spacing w:line="240" w:after="0" w:lineRule="auto" w:before="0"/>
        <w:ind w:firstLine="0" w:left="0" w:right="0"/>
        <w:jc w:val="left"/>
      </w:pPr>
      <w:r>
        <w:rPr>
          <w:rFonts w:eastAsia="Arial" w:ascii="Arial" w:hAnsi="Arial" w:cs="Arial"/>
          <w:sz w:val="22"/>
        </w:rPr>
        <w:t xml:space="preserve">предлагаю указать именно то что это право возникает в случае когда работы по благоустройству должны быть выполнены в сроки не соответствующие агротехническому периоду.</w:t>
      </w:r>
    </w:p>
    <w:p w14:paraId="00000002" w14:textId="00000002">
      <w:pPr>
        <w:spacing w:line="240" w:after="0" w:lineRule="auto" w:before="0"/>
        <w:ind w:firstLine="0" w:left="0" w:right="0"/>
        <w:jc w:val="left"/>
      </w:pPr>
      <w:r>
        <w:rPr>
          <w:rFonts w:eastAsia="Arial" w:ascii="Arial" w:hAnsi="Arial" w:cs="Arial"/>
          <w:sz w:val="22"/>
        </w:rPr>
        <w:t xml:space="preserve">"Заказчик вправе в случае невыполнения работ Подрядчиком или частичного выполнения работ Подрядчиком по благоустройству территории вследствие окончания агротехнического периода, когда сроки выполнения всего комплекса работ, установленные настоящим Договором выходят за сроки агротехнического периода, подписать акт приемки законченного строительством объекта приемочной комиссией (форма  РС-14) с отлагательным условием.</w:t>
      </w:r>
    </w:p>
    <w:p w14:paraId="00000003" w14:textId="00000003">
      <w:pPr>
        <w:spacing w:line="240" w:after="0" w:lineRule="auto" w:before="0"/>
        <w:ind w:firstLine="0" w:left="0" w:right="0"/>
        <w:jc w:val="left"/>
      </w:pPr>
      <w:r>
        <w:rPr>
          <w:rFonts w:eastAsia="Arial" w:ascii="Arial" w:hAnsi="Arial" w:cs="Arial"/>
          <w:sz w:val="22"/>
        </w:rPr>
        <w:t xml:space="preserve">При этом Стороны обязаны заключить соответствущее дополнительное соглашение.</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3" w15:done="0"/>
</w15:commentsEx>
</file>

<file path=word/commentsIdsDocument.xml><?xml version="1.0" encoding="utf-8"?>
<w16cid:commentsIds xmlns:mc="http://schemas.openxmlformats.org/markup-compatibility/2006" xmlns:w16cid="http://schemas.microsoft.com/office/word/2016/wordml/cid" mc:Ignorable="w16cid">
  <w16cid:commentId w16cid:paraId="00000003" w16cid:durableId="12F6CB3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 w:type="continuationNotice" w:id="1">
    <w:p>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Symbol">
    <w:panose1 w:val="05010000000000000000"/>
  </w:font>
  <w:font w:name="Courier New">
    <w:panose1 w:val="02070309020205020404"/>
  </w:font>
  <w:font w:name="Calibri">
    <w:panose1 w:val="020F0502020204030204"/>
  </w:font>
  <w:font w:name="Verdana">
    <w:panose1 w:val="020B0604030504040204"/>
  </w:font>
  <w:font w:name="Times New Roman">
    <w:panose1 w:val="02020603050405020304"/>
  </w:font>
  <w:font w:name="Arial CYR">
    <w:panose1 w:val="020B0604020202020204"/>
  </w:font>
  <w:font w:name="Tahoma">
    <w:panose1 w:val="020B0604030504040204"/>
  </w:font>
  <w:font w:name="Arial Unicode MS">
    <w:panose1 w:val="020B0604020202020204"/>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749"/>
      <w:rPr>
        <w:rStyle w:val="1750"/>
      </w:rPr>
      <w:framePr w:wrap="around" w:vAnchor="text" w:hAnchor="margin" w:xAlign="center" w:y="1"/>
    </w:pPr>
    <w:r>
      <w:rPr>
        <w:rStyle w:val="1750"/>
      </w:rPr>
      <w:fldChar w:fldCharType="begin"/>
    </w:r>
    <w:r>
      <w:rPr>
        <w:rStyle w:val="1750"/>
      </w:rPr>
      <w:instrText xml:space="preserve">PAGE  </w:instrText>
    </w:r>
    <w:r>
      <w:rPr>
        <w:rStyle w:val="1750"/>
      </w:rPr>
      <w:fldChar w:fldCharType="separate"/>
    </w:r>
    <w:r>
      <w:rPr>
        <w:rStyle w:val="1750"/>
      </w:rPr>
      <w:t xml:space="preserve">1</w:t>
    </w:r>
    <w:r>
      <w:rPr>
        <w:rStyle w:val="1750"/>
      </w:rPr>
      <w:fldChar w:fldCharType="end"/>
    </w:r>
    <w:r>
      <w:rPr>
        <w:rStyle w:val="1750"/>
      </w:rPr>
    </w:r>
    <w:r>
      <w:rPr>
        <w:rStyle w:val="1750"/>
      </w:rPr>
    </w:r>
  </w:p>
  <w:p>
    <w:pPr>
      <w:pStyle w:val="1749"/>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type="continuationNotice" w:id="1">
    <w:p>
      <w:r/>
      <w:r/>
    </w:p>
  </w:footnote>
  <w:footnote w:id="3">
    <w:p>
      <w:pPr>
        <w:pStyle w:val="1762"/>
        <w:jc w:val="both"/>
        <w:tabs>
          <w:tab w:val="left" w:pos="284" w:leader="none"/>
        </w:tabs>
        <w:rPr>
          <w:sz w:val="16"/>
          <w:szCs w:val="16"/>
        </w:rPr>
      </w:pPr>
      <w:r>
        <w:rPr>
          <w:rStyle w:val="1779"/>
          <w:sz w:val="16"/>
          <w:szCs w:val="16"/>
        </w:rPr>
        <w:footnoteRef/>
      </w:r>
      <w:r>
        <w:rPr>
          <w:sz w:val="16"/>
          <w:szCs w:val="16"/>
        </w:rPr>
        <w:t xml:space="preserve"> Указывается в случае заключения Договора по результатам закупочной процедуры.</w:t>
      </w:r>
      <w:r>
        <w:rPr>
          <w:sz w:val="16"/>
          <w:szCs w:val="16"/>
        </w:rPr>
      </w:r>
      <w:r>
        <w:rPr>
          <w:sz w:val="16"/>
          <w:szCs w:val="16"/>
        </w:rPr>
      </w:r>
    </w:p>
  </w:footnote>
  <w:footnote w:id="4">
    <w:p>
      <w:pPr>
        <w:pStyle w:val="1762"/>
        <w:rPr>
          <w:sz w:val="16"/>
          <w:szCs w:val="16"/>
        </w:rPr>
      </w:pPr>
      <w:r>
        <w:rPr>
          <w:rStyle w:val="1763"/>
          <w:sz w:val="16"/>
          <w:szCs w:val="16"/>
        </w:rPr>
        <w:footnoteRef/>
      </w:r>
      <w:r>
        <w:rPr>
          <w:sz w:val="16"/>
          <w:szCs w:val="16"/>
        </w:rPr>
        <w:t xml:space="preserve"> Необходимо указать нужный вариант в соответствии с предметом договора и ТЗ.</w:t>
      </w:r>
      <w:r>
        <w:rPr>
          <w:sz w:val="16"/>
          <w:szCs w:val="16"/>
        </w:rPr>
      </w:r>
      <w:r>
        <w:rPr>
          <w:sz w:val="16"/>
          <w:szCs w:val="16"/>
        </w:rPr>
      </w:r>
    </w:p>
    <w:p>
      <w:pPr>
        <w:pStyle w:val="1762"/>
        <w:jc w:val="both"/>
      </w:pPr>
      <w:r/>
      <w:r/>
    </w:p>
  </w:footnote>
  <w:footnote w:id="5">
    <w:p>
      <w:pPr>
        <w:pStyle w:val="1762"/>
      </w:pPr>
      <w:r>
        <w:rPr>
          <w:rStyle w:val="1763"/>
        </w:rPr>
        <w:footnoteRef/>
      </w:r>
      <w:r>
        <w:t xml:space="preserve"> </w:t>
      </w:r>
      <w:r>
        <w:rPr>
          <w:sz w:val="16"/>
          <w:szCs w:val="16"/>
        </w:rPr>
        <w:t xml:space="preserve">Применяется необходимый документ в зависимости от предмета Договора.</w:t>
      </w:r>
      <w:r/>
    </w:p>
  </w:footnote>
  <w:footnote w:id="6">
    <w:p>
      <w:pPr>
        <w:pStyle w:val="1762"/>
        <w:jc w:val="both"/>
        <w:rPr>
          <w:sz w:val="16"/>
          <w:szCs w:val="16"/>
        </w:rPr>
      </w:pPr>
      <w:r>
        <w:rPr>
          <w:rStyle w:val="1763"/>
        </w:rPr>
        <w:footnoteRef/>
      </w:r>
      <w:r>
        <w:t xml:space="preserve"> </w:t>
      </w:r>
      <w:r>
        <w:rPr>
          <w:sz w:val="16"/>
          <w:szCs w:val="16"/>
        </w:rPr>
        <w:t xml:space="preserve">Вариант применяется в случае:</w:t>
      </w:r>
      <w:r>
        <w:rPr>
          <w:sz w:val="16"/>
          <w:szCs w:val="16"/>
        </w:rPr>
      </w:r>
      <w:r>
        <w:rPr>
          <w:sz w:val="16"/>
          <w:szCs w:val="16"/>
        </w:rPr>
      </w:r>
    </w:p>
    <w:p>
      <w:pPr>
        <w:jc w:val="both"/>
        <w:rPr>
          <w:sz w:val="16"/>
          <w:szCs w:val="16"/>
        </w:rPr>
      </w:pPr>
      <w:r>
        <w:rPr>
          <w:sz w:val="16"/>
          <w:szCs w:val="16"/>
        </w:rPr>
        <w:t xml:space="preserve">- заключения Договора по результатам проведения закупочной процедуры, победителем которой является субъект МСП;</w:t>
      </w:r>
      <w:r>
        <w:rPr>
          <w:sz w:val="16"/>
          <w:szCs w:val="16"/>
        </w:rPr>
      </w:r>
      <w:r>
        <w:rPr>
          <w:sz w:val="16"/>
          <w:szCs w:val="16"/>
        </w:rPr>
      </w:r>
    </w:p>
    <w:p>
      <w:pPr>
        <w:jc w:val="both"/>
        <w:rPr>
          <w:sz w:val="16"/>
          <w:szCs w:val="16"/>
        </w:rPr>
      </w:pPr>
      <w:r>
        <w:rPr>
          <w:sz w:val="16"/>
          <w:szCs w:val="16"/>
        </w:rPr>
        <w:t xml:space="preserve">- осуществления закупок у взаимозависимых л</w:t>
      </w:r>
      <w:r>
        <w:rPr>
          <w:sz w:val="16"/>
          <w:szCs w:val="16"/>
        </w:rPr>
        <w:t xml:space="preserve">иц являющихся дочерними обществами ПАО «</w:t>
      </w:r>
      <w:r>
        <w:rPr>
          <w:sz w:val="16"/>
          <w:szCs w:val="16"/>
        </w:rPr>
        <w:t xml:space="preserve">Россети</w:t>
      </w:r>
      <w:r>
        <w:rPr>
          <w:sz w:val="16"/>
          <w:szCs w:val="16"/>
        </w:rPr>
        <w:t xml:space="preserve"> Ленэнерго»;</w:t>
      </w:r>
      <w:r>
        <w:rPr>
          <w:sz w:val="16"/>
          <w:szCs w:val="16"/>
        </w:rPr>
      </w:r>
      <w:r>
        <w:rPr>
          <w:sz w:val="16"/>
          <w:szCs w:val="16"/>
        </w:rPr>
      </w:r>
    </w:p>
    <w:p>
      <w:pPr>
        <w:jc w:val="both"/>
        <w:rPr>
          <w:sz w:val="16"/>
          <w:szCs w:val="16"/>
        </w:rPr>
      </w:pPr>
      <w:r>
        <w:rPr>
          <w:sz w:val="16"/>
          <w:szCs w:val="16"/>
        </w:rPr>
        <w:t xml:space="preserve">- если выполняемые работы не включены в разделы «Общего классификатора продукции по видам экономической деятельности» (ОК 034-2014 (КПЕС), утвержденного приказом </w:t>
      </w:r>
      <w:r>
        <w:rPr>
          <w:sz w:val="16"/>
          <w:szCs w:val="16"/>
        </w:rPr>
        <w:t xml:space="preserve">Росстандарта</w:t>
      </w:r>
      <w:r>
        <w:rPr>
          <w:sz w:val="16"/>
          <w:szCs w:val="16"/>
        </w:rPr>
        <w:t xml:space="preserve"> от 31.01.2014 №14-си,</w:t>
      </w:r>
      <w:r>
        <w:rPr>
          <w:sz w:val="16"/>
          <w:szCs w:val="16"/>
        </w:rPr>
        <w:t xml:space="preserve"> в действующей редакции), перечень которых указан в подпункте 9.2.7.1. Единого стандарта закупок ПАО «</w:t>
      </w:r>
      <w:r>
        <w:rPr>
          <w:sz w:val="16"/>
          <w:szCs w:val="16"/>
        </w:rPr>
        <w:t xml:space="preserve">Россети</w:t>
      </w:r>
      <w:r>
        <w:rPr>
          <w:sz w:val="16"/>
          <w:szCs w:val="16"/>
        </w:rPr>
        <w:t xml:space="preserve">»;</w:t>
      </w:r>
      <w:r>
        <w:rPr>
          <w:sz w:val="16"/>
          <w:szCs w:val="16"/>
        </w:rPr>
      </w:r>
      <w:r>
        <w:rPr>
          <w:sz w:val="16"/>
          <w:szCs w:val="16"/>
        </w:rPr>
      </w:r>
    </w:p>
    <w:p>
      <w:pPr>
        <w:jc w:val="both"/>
        <w:rPr>
          <w:sz w:val="16"/>
          <w:szCs w:val="16"/>
        </w:rPr>
      </w:pPr>
      <w:r>
        <w:rPr>
          <w:sz w:val="16"/>
          <w:szCs w:val="16"/>
        </w:rPr>
        <w:t xml:space="preserve">-  заключения Договора по результатам проведения конкурентной закупочной процедуры, участниками которой являлись только субъекты МСП;</w:t>
      </w:r>
      <w:r>
        <w:rPr>
          <w:sz w:val="16"/>
          <w:szCs w:val="16"/>
        </w:rPr>
      </w:r>
      <w:r>
        <w:rPr>
          <w:sz w:val="16"/>
          <w:szCs w:val="16"/>
        </w:rPr>
      </w:r>
    </w:p>
    <w:p>
      <w:pPr>
        <w:pStyle w:val="1762"/>
        <w:jc w:val="both"/>
      </w:pPr>
      <w:r>
        <w:rPr>
          <w:sz w:val="16"/>
          <w:szCs w:val="16"/>
        </w:rPr>
        <w:t xml:space="preserve">- заключен</w:t>
      </w:r>
      <w:r>
        <w:rPr>
          <w:sz w:val="16"/>
          <w:szCs w:val="16"/>
        </w:rPr>
        <w:t xml:space="preserve">ия Договора по результатам проведения неконкурентной закупочной процедуры, участниками которой являлись только субъекты МСП.</w:t>
      </w:r>
      <w:r/>
    </w:p>
  </w:footnote>
  <w:footnote w:id="7">
    <w:p>
      <w:pPr>
        <w:pStyle w:val="1762"/>
        <w:jc w:val="both"/>
        <w:rPr>
          <w:sz w:val="16"/>
          <w:szCs w:val="16"/>
        </w:rPr>
      </w:pPr>
      <w:r>
        <w:rPr>
          <w:rStyle w:val="1763"/>
        </w:rPr>
        <w:footnoteRef/>
      </w:r>
      <w:r>
        <w:t xml:space="preserve"> </w:t>
      </w:r>
      <w:r>
        <w:rPr>
          <w:sz w:val="16"/>
          <w:szCs w:val="16"/>
        </w:rPr>
        <w:t xml:space="preserve">Вариант применяется в случае:</w:t>
      </w:r>
      <w:r>
        <w:rPr>
          <w:sz w:val="16"/>
          <w:szCs w:val="16"/>
        </w:rPr>
      </w:r>
      <w:r>
        <w:rPr>
          <w:sz w:val="16"/>
          <w:szCs w:val="16"/>
        </w:rPr>
      </w:r>
    </w:p>
    <w:p>
      <w:pPr>
        <w:jc w:val="both"/>
        <w:rPr>
          <w:sz w:val="16"/>
          <w:szCs w:val="16"/>
        </w:rPr>
      </w:pPr>
      <w:r>
        <w:rPr>
          <w:sz w:val="16"/>
          <w:szCs w:val="16"/>
        </w:rPr>
        <w:t xml:space="preserve">- если выполняемые работы включены в разделы «Общего классификатора продукции по видам экономическо</w:t>
      </w:r>
      <w:r>
        <w:rPr>
          <w:sz w:val="16"/>
          <w:szCs w:val="16"/>
        </w:rPr>
        <w:t xml:space="preserve">й деятельности» (ОК 034-2014 (КПЕС), утвержденного приказом </w:t>
      </w:r>
      <w:r>
        <w:rPr>
          <w:sz w:val="16"/>
          <w:szCs w:val="16"/>
        </w:rPr>
        <w:t xml:space="preserve">Росстандарта</w:t>
      </w:r>
      <w:r>
        <w:rPr>
          <w:sz w:val="16"/>
          <w:szCs w:val="16"/>
        </w:rPr>
        <w:t xml:space="preserve"> от 31.01.2014 №14-си, в действующей редакции), перечень которых указан в подпункте 9.2.7.1. Единого стандарта закупок ПАО «</w:t>
      </w:r>
      <w:r>
        <w:rPr>
          <w:sz w:val="16"/>
          <w:szCs w:val="16"/>
        </w:rPr>
        <w:t xml:space="preserve">Россети</w:t>
      </w:r>
      <w:r>
        <w:rPr>
          <w:sz w:val="16"/>
          <w:szCs w:val="16"/>
        </w:rPr>
        <w:t xml:space="preserve">»;</w:t>
      </w:r>
      <w:r>
        <w:rPr>
          <w:sz w:val="16"/>
          <w:szCs w:val="16"/>
        </w:rPr>
      </w:r>
      <w:r>
        <w:rPr>
          <w:sz w:val="16"/>
          <w:szCs w:val="16"/>
        </w:rPr>
      </w:r>
    </w:p>
    <w:p>
      <w:pPr>
        <w:jc w:val="both"/>
        <w:rPr>
          <w:sz w:val="16"/>
          <w:szCs w:val="16"/>
        </w:rPr>
      </w:pPr>
      <w:r>
        <w:rPr>
          <w:sz w:val="16"/>
          <w:szCs w:val="16"/>
        </w:rPr>
        <w:t xml:space="preserve">- осуществления закупок у взаимозависимых лиц не я</w:t>
      </w:r>
      <w:r>
        <w:rPr>
          <w:sz w:val="16"/>
          <w:szCs w:val="16"/>
        </w:rPr>
        <w:t xml:space="preserve">вляющихся дочерними обществами ПАО «</w:t>
      </w:r>
      <w:r>
        <w:rPr>
          <w:sz w:val="16"/>
          <w:szCs w:val="16"/>
        </w:rPr>
        <w:t xml:space="preserve">Россети</w:t>
      </w:r>
      <w:r>
        <w:rPr>
          <w:sz w:val="16"/>
          <w:szCs w:val="16"/>
        </w:rPr>
        <w:t xml:space="preserve"> Ленэнерго»;</w:t>
      </w:r>
      <w:r>
        <w:rPr>
          <w:sz w:val="16"/>
          <w:szCs w:val="16"/>
        </w:rPr>
      </w:r>
      <w:r>
        <w:rPr>
          <w:sz w:val="16"/>
          <w:szCs w:val="16"/>
        </w:rPr>
      </w:r>
    </w:p>
    <w:p>
      <w:pPr>
        <w:pStyle w:val="1762"/>
      </w:pPr>
      <w:r>
        <w:rPr>
          <w:sz w:val="16"/>
          <w:szCs w:val="16"/>
        </w:rPr>
        <w:t xml:space="preserve">- заключения Договора по результатам проведения закупочной процедуры на общих основаниях при условии, что победитель не является субъектом МСП.</w:t>
      </w:r>
      <w:r/>
    </w:p>
  </w:footnote>
  <w:footnote w:id="8">
    <w:p>
      <w:pPr>
        <w:pStyle w:val="1762"/>
        <w:jc w:val="both"/>
        <w:rPr>
          <w:highlight w:val="white"/>
        </w:rPr>
      </w:pPr>
      <w:r>
        <w:rPr>
          <w:rStyle w:val="1763"/>
          <w:sz w:val="16"/>
          <w:szCs w:val="16"/>
          <w:highlight w:val="white"/>
        </w:rPr>
        <w:footnoteRef/>
      </w:r>
      <w:r>
        <w:rPr>
          <w:sz w:val="16"/>
          <w:szCs w:val="16"/>
          <w:highlight w:val="white"/>
        </w:rPr>
        <w:t xml:space="preserve">  Условия, изложенные в данном пункте, применяются для </w:t>
      </w:r>
      <w:r>
        <w:rPr>
          <w:sz w:val="16"/>
          <w:szCs w:val="16"/>
          <w:highlight w:val="white"/>
        </w:rPr>
        <w:t xml:space="preserve">договора, заключаемого по результатам закупочной процедуры с </w:t>
      </w:r>
      <w:r>
        <w:rPr>
          <w:bCs/>
          <w:sz w:val="16"/>
          <w:szCs w:val="16"/>
          <w:highlight w:val="white"/>
        </w:rPr>
        <w:t xml:space="preserve">начальной (максимальной) ценой  </w:t>
      </w:r>
      <w:r>
        <w:rPr>
          <w:sz w:val="16"/>
          <w:szCs w:val="16"/>
          <w:highlight w:val="white"/>
        </w:rPr>
        <w:t xml:space="preserve">15 000 000,00 рублей и менее, с учетом всех установленных налогов и </w:t>
      </w:r>
      <w:r>
        <w:rPr>
          <w:bCs/>
          <w:sz w:val="16"/>
          <w:szCs w:val="16"/>
          <w:highlight w:val="white"/>
        </w:rPr>
        <w:t xml:space="preserve">сборов, при отсутствии дополнительных соглашений, увеличивающих стоимость договора свыше 15 000</w:t>
      </w:r>
      <w:r>
        <w:rPr>
          <w:bCs/>
          <w:sz w:val="16"/>
          <w:szCs w:val="16"/>
          <w:highlight w:val="white"/>
        </w:rPr>
        <w:t xml:space="preserve"> 000,00 рублей с учетом всех установленных налогов и сборов, при условии отсутствия требований по предоставлению обеспечительных мер в случае предложения победителем закупки аномально низкой цены.</w:t>
      </w:r>
      <w:r>
        <w:rPr>
          <w:highlight w:val="white"/>
        </w:rPr>
        <w:t xml:space="preserve"> </w:t>
      </w:r>
      <w:r>
        <w:rPr>
          <w:highlight w:val="white"/>
        </w:rPr>
      </w:r>
      <w:r>
        <w:rPr>
          <w:highlight w:val="white"/>
        </w:rPr>
      </w:r>
    </w:p>
  </w:footnote>
  <w:footnote w:id="9">
    <w:p>
      <w:pPr>
        <w:pStyle w:val="1762"/>
        <w:jc w:val="both"/>
        <w:rPr>
          <w:sz w:val="16"/>
          <w:szCs w:val="16"/>
        </w:rPr>
      </w:pPr>
      <w:r>
        <w:rPr>
          <w:rStyle w:val="1763"/>
          <w:sz w:val="16"/>
          <w:szCs w:val="16"/>
          <w:highlight w:val="white"/>
        </w:rPr>
        <w:footnoteRef/>
      </w:r>
      <w:r>
        <w:rPr>
          <w:sz w:val="16"/>
          <w:szCs w:val="16"/>
          <w:highlight w:val="white"/>
        </w:rPr>
        <w:t xml:space="preserve"> Условия, изложенные в данном пункте, применяются в случае наличия </w:t>
      </w:r>
      <w:r>
        <w:rPr>
          <w:sz w:val="16"/>
          <w:szCs w:val="16"/>
          <w:highlight w:val="white"/>
        </w:rPr>
        <w:t xml:space="preserve">соответствующих</w:t>
      </w:r>
      <w:r>
        <w:rPr>
          <w:sz w:val="16"/>
          <w:szCs w:val="16"/>
          <w:highlight w:val="white"/>
        </w:rPr>
        <w:t xml:space="preserve"> </w:t>
      </w:r>
      <w:r>
        <w:rPr>
          <w:sz w:val="16"/>
          <w:szCs w:val="16"/>
          <w:highlight w:val="white"/>
        </w:rPr>
        <w:t xml:space="preserve">требований</w:t>
      </w:r>
      <w:r>
        <w:rPr>
          <w:sz w:val="16"/>
          <w:szCs w:val="16"/>
          <w:highlight w:val="white"/>
        </w:rPr>
        <w:t xml:space="preserve"> по предоставлению обеспечени</w:t>
      </w:r>
      <w:r>
        <w:rPr>
          <w:sz w:val="16"/>
          <w:szCs w:val="16"/>
        </w:rPr>
        <w:t xml:space="preserve">я и страхования в Договоре.</w:t>
      </w:r>
      <w:r>
        <w:rPr>
          <w:sz w:val="16"/>
          <w:szCs w:val="16"/>
        </w:rPr>
      </w:r>
      <w:r>
        <w:rPr>
          <w:sz w:val="16"/>
          <w:szCs w:val="16"/>
        </w:rPr>
      </w:r>
    </w:p>
    <w:p>
      <w:pPr>
        <w:pStyle w:val="1762"/>
        <w:rPr>
          <w:sz w:val="18"/>
          <w:szCs w:val="18"/>
        </w:rPr>
      </w:pPr>
      <w:r>
        <w:rPr>
          <w:bCs/>
          <w:color w:val="000000"/>
          <w:sz w:val="16"/>
          <w:szCs w:val="16"/>
        </w:rPr>
        <w:t xml:space="preserve">.</w:t>
      </w:r>
      <w:r>
        <w:rPr>
          <w:sz w:val="18"/>
          <w:szCs w:val="18"/>
        </w:rPr>
      </w:r>
      <w:r>
        <w:rPr>
          <w:sz w:val="18"/>
          <w:szCs w:val="18"/>
        </w:rPr>
      </w:r>
    </w:p>
  </w:footnote>
  <w:footnote w:id="10">
    <w:p>
      <w:pPr>
        <w:pStyle w:val="1762"/>
        <w:rPr>
          <w:highlight w:val="white"/>
        </w:rPr>
      </w:pPr>
      <w:r>
        <w:rPr>
          <w:rStyle w:val="1763"/>
        </w:rPr>
        <w:footnoteRef/>
      </w:r>
      <w:r>
        <w:t xml:space="preserve"> </w:t>
      </w:r>
      <w:r>
        <w:rPr>
          <w:sz w:val="16"/>
          <w:szCs w:val="16"/>
          <w:lang w:eastAsia="ar-SA"/>
        </w:rPr>
        <w:t xml:space="preserve">Условия, изложенные в данном абзаце, применяются в случае наличия соответствующих требований по предост</w:t>
      </w:r>
      <w:r>
        <w:rPr>
          <w:sz w:val="16"/>
          <w:szCs w:val="16"/>
          <w:lang w:eastAsia="ar-SA"/>
        </w:rPr>
        <w:t xml:space="preserve">авлению обеспечения и </w:t>
      </w:r>
      <w:r>
        <w:rPr>
          <w:sz w:val="16"/>
          <w:szCs w:val="16"/>
          <w:highlight w:val="white"/>
          <w:lang w:eastAsia="ar-SA"/>
        </w:rPr>
        <w:t xml:space="preserve">страхования в Договоре.</w:t>
      </w:r>
      <w:r>
        <w:rPr>
          <w:highlight w:val="white"/>
        </w:rPr>
      </w:r>
      <w:r>
        <w:rPr>
          <w:highlight w:val="white"/>
        </w:rPr>
      </w:r>
    </w:p>
  </w:footnote>
  <w:footnote w:id="11">
    <w:p>
      <w:pPr>
        <w:pStyle w:val="1762"/>
        <w:rPr>
          <w:highlight w:val="white"/>
        </w:rPr>
      </w:pPr>
      <w:r>
        <w:rPr>
          <w:rStyle w:val="1763"/>
          <w:highlight w:val="white"/>
        </w:rPr>
        <w:footnoteRef/>
      </w:r>
      <w:r>
        <w:rPr>
          <w:highlight w:val="white"/>
        </w:rPr>
        <w:t xml:space="preserve"> </w:t>
      </w:r>
      <w:r>
        <w:rPr>
          <w:sz w:val="16"/>
          <w:szCs w:val="16"/>
          <w:highlight w:val="white"/>
          <w:lang w:eastAsia="ar-SA"/>
        </w:rPr>
        <w:t xml:space="preserve">Пункт не применяется для договора, заключаемого п</w:t>
      </w:r>
      <w:r>
        <w:rPr>
          <w:sz w:val="16"/>
          <w:szCs w:val="16"/>
          <w:highlight w:val="white"/>
          <w:shd w:val="clear" w:color="auto" w:fill="ffffff"/>
          <w:lang w:eastAsia="ar-SA"/>
        </w:rPr>
        <w:t xml:space="preserve">о результатам закупочной процедуры, проводимой только среди </w:t>
      </w:r>
      <w:r>
        <w:rPr>
          <w:sz w:val="16"/>
          <w:szCs w:val="16"/>
          <w:highlight w:val="white"/>
          <w:shd w:val="clear" w:color="auto" w:fill="ffffff"/>
          <w:lang w:eastAsia="ar-SA"/>
        </w:rPr>
        <w:t xml:space="preserve">субектов</w:t>
      </w:r>
      <w:r>
        <w:rPr>
          <w:sz w:val="16"/>
          <w:szCs w:val="16"/>
          <w:highlight w:val="white"/>
          <w:shd w:val="clear" w:color="auto" w:fill="ffffff"/>
          <w:lang w:eastAsia="ar-SA"/>
        </w:rPr>
        <w:t xml:space="preserve"> МСП,</w:t>
      </w:r>
      <w:r>
        <w:rPr>
          <w:sz w:val="16"/>
          <w:szCs w:val="16"/>
          <w:highlight w:val="white"/>
          <w:lang w:eastAsia="ar-SA"/>
        </w:rPr>
        <w:t xml:space="preserve"> с </w:t>
      </w:r>
      <w:r>
        <w:rPr>
          <w:bCs/>
          <w:sz w:val="16"/>
          <w:szCs w:val="16"/>
          <w:highlight w:val="white"/>
          <w:lang w:eastAsia="ar-SA"/>
        </w:rPr>
        <w:t xml:space="preserve">начальной (максимальной) ценой </w:t>
      </w:r>
      <w:r>
        <w:rPr>
          <w:sz w:val="16"/>
          <w:szCs w:val="16"/>
          <w:highlight w:val="white"/>
          <w:lang w:eastAsia="ar-SA"/>
        </w:rPr>
        <w:t xml:space="preserve">15 000 000,00 рублей и менее, с учетом всех установл</w:t>
      </w:r>
      <w:r>
        <w:rPr>
          <w:sz w:val="16"/>
          <w:szCs w:val="16"/>
          <w:highlight w:val="white"/>
          <w:lang w:eastAsia="ar-SA"/>
        </w:rPr>
        <w:t xml:space="preserve">енных налогов и </w:t>
      </w:r>
      <w:r>
        <w:rPr>
          <w:bCs/>
          <w:sz w:val="16"/>
          <w:szCs w:val="16"/>
          <w:highlight w:val="white"/>
          <w:lang w:eastAsia="ar-SA"/>
        </w:rPr>
        <w:t xml:space="preserve">сборов.</w:t>
      </w:r>
      <w:r>
        <w:rPr>
          <w:highlight w:val="white"/>
        </w:rPr>
      </w:r>
      <w:r>
        <w:rPr>
          <w:highlight w:val="white"/>
        </w:rPr>
      </w:r>
    </w:p>
  </w:footnote>
  <w:footnote w:id="12">
    <w:p>
      <w:pPr>
        <w:pStyle w:val="1762"/>
      </w:pPr>
      <w:r>
        <w:rPr>
          <w:rStyle w:val="1763"/>
        </w:rPr>
        <w:footnoteRef/>
      </w:r>
      <w:r>
        <w:t xml:space="preserve"> Применяется для договоров с суммой аванса более 500 </w:t>
      </w:r>
      <w:r>
        <w:t xml:space="preserve">тыс</w:t>
      </w:r>
      <w:r>
        <w:t xml:space="preserve"> рублей</w:t>
      </w:r>
      <w:r/>
    </w:p>
  </w:footnote>
  <w:footnote w:id="13">
    <w:p>
      <w:pPr>
        <w:pStyle w:val="1762"/>
        <w:rPr>
          <w:sz w:val="16"/>
          <w:szCs w:val="16"/>
        </w:rPr>
      </w:pPr>
      <w:r>
        <w:rPr>
          <w:rStyle w:val="1763"/>
          <w:sz w:val="16"/>
          <w:szCs w:val="16"/>
        </w:rPr>
        <w:footnoteRef/>
      </w:r>
      <w:r>
        <w:rPr>
          <w:sz w:val="16"/>
          <w:szCs w:val="16"/>
        </w:rPr>
        <w:t xml:space="preserve"> Пункты 5.9-5.12 не применяются в случае, если предметом является выполнение СМР по расширению просек</w:t>
      </w:r>
      <w:r>
        <w:rPr>
          <w:sz w:val="16"/>
          <w:szCs w:val="16"/>
        </w:rPr>
      </w:r>
      <w:r>
        <w:rPr>
          <w:sz w:val="16"/>
          <w:szCs w:val="16"/>
        </w:rPr>
      </w:r>
    </w:p>
  </w:footnote>
  <w:footnote w:id="14">
    <w:p>
      <w:pPr>
        <w:pStyle w:val="1762"/>
      </w:pPr>
      <w:r>
        <w:rPr>
          <w:rStyle w:val="1763"/>
          <w:sz w:val="16"/>
          <w:szCs w:val="16"/>
        </w:rPr>
        <w:footnoteRef/>
      </w:r>
      <w:r>
        <w:rPr>
          <w:sz w:val="16"/>
          <w:szCs w:val="16"/>
        </w:rPr>
        <w:t xml:space="preserve"> </w:t>
      </w:r>
      <w:r>
        <w:rPr>
          <w:sz w:val="16"/>
        </w:rPr>
        <w:t xml:space="preserve">Договор заключается по форме приложения №5 к Договору.</w:t>
      </w:r>
      <w:r/>
    </w:p>
  </w:footnote>
  <w:footnote w:id="15">
    <w:p>
      <w:pPr>
        <w:pStyle w:val="1762"/>
        <w:jc w:val="both"/>
        <w:rPr>
          <w:sz w:val="16"/>
          <w:szCs w:val="16"/>
        </w:rPr>
      </w:pPr>
      <w:r>
        <w:rPr>
          <w:rStyle w:val="1763"/>
          <w:sz w:val="16"/>
          <w:szCs w:val="16"/>
        </w:rPr>
        <w:footnoteRef/>
      </w:r>
      <w:r>
        <w:rPr>
          <w:sz w:val="16"/>
          <w:szCs w:val="16"/>
        </w:rPr>
        <w:t xml:space="preserve"> Требования данного пункта применяются в случае, если на дату поставки оборудование, материалы и системы (аппаратно-программные комплексы), включены в «Перечень оборудования, материалов и систем (аппаратно-программных комплексов) подл</w:t>
      </w:r>
      <w:r>
        <w:rPr>
          <w:sz w:val="16"/>
          <w:szCs w:val="16"/>
        </w:rPr>
        <w:t xml:space="preserve">ежащих проверке качества (аттестации) в ПАО «</w:t>
      </w:r>
      <w:r>
        <w:rPr>
          <w:sz w:val="16"/>
          <w:szCs w:val="16"/>
        </w:rPr>
        <w:t xml:space="preserve">Россети</w:t>
      </w:r>
      <w:r>
        <w:rPr>
          <w:sz w:val="16"/>
          <w:szCs w:val="16"/>
        </w:rPr>
        <w:t xml:space="preserve">»», являющийся приложением №1 к Порядку проведения проверки качества (аттестации) оборудования. материалов и систем ПАО «</w:t>
      </w:r>
      <w:r>
        <w:rPr>
          <w:sz w:val="16"/>
          <w:szCs w:val="16"/>
        </w:rPr>
        <w:t xml:space="preserve">Россети</w:t>
      </w:r>
      <w:r>
        <w:rPr>
          <w:sz w:val="16"/>
          <w:szCs w:val="16"/>
        </w:rPr>
        <w:t xml:space="preserve">», размещенному по адресу: https://www.rosseti.ru/upload/iblock/455/wf9w6z3y</w:t>
      </w:r>
      <w:r>
        <w:rPr>
          <w:sz w:val="16"/>
          <w:szCs w:val="16"/>
        </w:rPr>
        <w:t xml:space="preserve">ib1ctz9q5lehgv4zu03n1fxx/2.%20Порядок%20проведения%20аттестации%20(утв.приказом%20ПАО%20Россети%20от%2026.07.2023%20№305).pdf</w:t>
      </w:r>
      <w:r>
        <w:rPr>
          <w:sz w:val="16"/>
          <w:szCs w:val="16"/>
        </w:rPr>
      </w:r>
      <w:r>
        <w:rPr>
          <w:sz w:val="16"/>
          <w:szCs w:val="16"/>
        </w:rPr>
      </w:r>
    </w:p>
  </w:footnote>
  <w:footnote w:id="16">
    <w:p>
      <w:pPr>
        <w:pStyle w:val="1762"/>
        <w:jc w:val="both"/>
        <w:rPr>
          <w:sz w:val="16"/>
          <w:szCs w:val="16"/>
        </w:rPr>
      </w:pPr>
      <w:r>
        <w:rPr>
          <w:rStyle w:val="1763"/>
          <w:sz w:val="16"/>
          <w:szCs w:val="16"/>
        </w:rPr>
        <w:footnoteRef/>
      </w:r>
      <w:r>
        <w:rPr>
          <w:sz w:val="16"/>
          <w:szCs w:val="16"/>
        </w:rPr>
        <w:t xml:space="preserve"> Пункт не применяется для объектов распределительной сети 0,4-10кВ, при проведении работ по прокладке кабельных линий и ЛЭП. Техн</w:t>
      </w:r>
      <w:r>
        <w:rPr>
          <w:sz w:val="16"/>
          <w:szCs w:val="16"/>
        </w:rPr>
        <w:t xml:space="preserve">ические и иные условия видеотрансляции могут быть указаны в Техническом задании (в качестве Приложения) или уточнены в письменных требованиях Заказчика, направленных в сторону Подрядчика.</w:t>
      </w:r>
      <w:r>
        <w:rPr>
          <w:sz w:val="16"/>
          <w:szCs w:val="16"/>
        </w:rPr>
      </w:r>
      <w:r>
        <w:rPr>
          <w:sz w:val="16"/>
          <w:szCs w:val="16"/>
        </w:rPr>
      </w:r>
    </w:p>
  </w:footnote>
  <w:footnote w:id="17">
    <w:p>
      <w:pPr>
        <w:pStyle w:val="1762"/>
        <w:jc w:val="both"/>
        <w:rPr>
          <w:sz w:val="16"/>
          <w:szCs w:val="16"/>
        </w:rPr>
      </w:pPr>
      <w:r>
        <w:rPr>
          <w:rStyle w:val="1763"/>
        </w:rPr>
        <w:footnoteRef/>
      </w:r>
      <w:r>
        <w:t xml:space="preserve"> </w:t>
      </w:r>
      <w:r>
        <w:rPr>
          <w:sz w:val="16"/>
          <w:szCs w:val="16"/>
        </w:rPr>
        <w:t xml:space="preserve">«Об утверждении Правил проверки субъектом топливно-энергетического</w:t>
      </w:r>
      <w:r>
        <w:rPr>
          <w:sz w:val="16"/>
          <w:szCs w:val="16"/>
        </w:rPr>
        <w:t xml:space="preserve"> комплекса сведений, указанных в статье 10 Федерального закона "О безопасности объектов топливно-энергетического комплекса", в отношении физических лиц, выполняющих работу, непосредственно связанную с обеспечением безопасности объектов топливно-энергетичес</w:t>
      </w:r>
      <w:r>
        <w:rPr>
          <w:sz w:val="16"/>
          <w:szCs w:val="16"/>
        </w:rPr>
        <w:t xml:space="preserve">кого комплекса, по трудовым договорам или гражданско-правовым договорам, заключенным с субъектом топливно-энергетического комплекса, и перечня сведений, указанных в статье 10 Федерального закона "О безопасности объектов топливно-энергетического комплекса",</w:t>
      </w:r>
      <w:r>
        <w:rPr>
          <w:sz w:val="16"/>
          <w:szCs w:val="16"/>
        </w:rPr>
        <w:t xml:space="preserve"> представляемых физическими лицами, выполняющими работу, непосредственно связанную с обеспечением безопасности объектов топливно-энергетического комплекса, по трудовым договорам или гражданско-правовым договорам, заключенным с субъектом топливно-энергетиче</w:t>
      </w:r>
      <w:r>
        <w:rPr>
          <w:sz w:val="16"/>
          <w:szCs w:val="16"/>
        </w:rPr>
        <w:t xml:space="preserve">ского комплекса»</w:t>
      </w:r>
      <w:r>
        <w:rPr>
          <w:sz w:val="16"/>
          <w:szCs w:val="16"/>
        </w:rPr>
      </w:r>
      <w:r>
        <w:rPr>
          <w:sz w:val="16"/>
          <w:szCs w:val="16"/>
        </w:rPr>
      </w:r>
    </w:p>
  </w:footnote>
  <w:footnote w:id="18">
    <w:p>
      <w:pPr>
        <w:rPr>
          <w:sz w:val="16"/>
          <w:szCs w:val="16"/>
        </w:rPr>
      </w:pPr>
      <w:r>
        <w:rPr>
          <w:rStyle w:val="1763"/>
        </w:rPr>
        <w:footnoteRef/>
      </w:r>
      <w:r>
        <w:t xml:space="preserve"> </w:t>
      </w:r>
      <w:r>
        <w:rPr>
          <w:sz w:val="16"/>
          <w:szCs w:val="16"/>
        </w:rPr>
        <w:t xml:space="preserve">В случае заключения</w:t>
      </w:r>
      <w:r>
        <w:t xml:space="preserve"> </w:t>
      </w:r>
      <w:r>
        <w:rPr>
          <w:sz w:val="16"/>
          <w:szCs w:val="16"/>
        </w:rPr>
        <w:t xml:space="preserve">договора с Подрядчиком, являющимся физическим лицом, Подрядчик обязан предоставить Заказчику до начала фактического выполнения работ по Договору заполненные документы по форме Приложения № </w:t>
      </w:r>
      <w:r>
        <w:rPr>
          <w:sz w:val="16"/>
          <w:szCs w:val="16"/>
        </w:rPr>
        <w:t xml:space="preserve">11  и</w:t>
      </w:r>
      <w:r>
        <w:rPr>
          <w:sz w:val="16"/>
          <w:szCs w:val="16"/>
        </w:rPr>
        <w:t xml:space="preserve"> Приложения № 12 к Дого</w:t>
      </w:r>
      <w:r>
        <w:rPr>
          <w:sz w:val="16"/>
          <w:szCs w:val="16"/>
        </w:rPr>
        <w:t xml:space="preserve">вору.</w:t>
      </w:r>
      <w:r>
        <w:rPr>
          <w:sz w:val="16"/>
          <w:szCs w:val="16"/>
        </w:rPr>
      </w:r>
      <w:r>
        <w:rPr>
          <w:sz w:val="16"/>
          <w:szCs w:val="16"/>
        </w:rPr>
      </w:r>
    </w:p>
  </w:footnote>
  <w:footnote w:id="19">
    <w:p>
      <w:pPr>
        <w:pStyle w:val="1762"/>
        <w:jc w:val="both"/>
        <w:rPr>
          <w:highlight w:val="white"/>
        </w:rPr>
      </w:pPr>
      <w:r>
        <w:rPr>
          <w:rStyle w:val="1763"/>
        </w:rPr>
        <w:footnoteRef/>
      </w:r>
      <w:r>
        <w:t xml:space="preserve"> </w:t>
      </w:r>
      <w:r>
        <w:rPr>
          <w:sz w:val="16"/>
          <w:szCs w:val="16"/>
        </w:rPr>
        <w:t xml:space="preserve">Применяется в случае заключения договора, предусматривающего создание (модернизацию/интеграцию/доработку) или эксплуатационно-</w:t>
      </w:r>
      <w:r>
        <w:rPr>
          <w:sz w:val="16"/>
          <w:szCs w:val="16"/>
          <w:highlight w:val="white"/>
        </w:rPr>
        <w:t xml:space="preserve">техническое обслуживание (сопровождение) информационных систем, автоматизированных систем управления и сетей связи.</w:t>
      </w:r>
      <w:r>
        <w:rPr>
          <w:highlight w:val="white"/>
        </w:rPr>
      </w:r>
      <w:r>
        <w:rPr>
          <w:highlight w:val="white"/>
        </w:rPr>
      </w:r>
    </w:p>
  </w:footnote>
  <w:footnote w:id="20">
    <w:p>
      <w:pPr>
        <w:pStyle w:val="1762"/>
        <w:jc w:val="both"/>
        <w:rPr>
          <w:highlight w:val="white"/>
        </w:rPr>
      </w:pPr>
      <w:r>
        <w:rPr>
          <w:rStyle w:val="1763"/>
          <w:sz w:val="16"/>
          <w:szCs w:val="16"/>
          <w:highlight w:val="white"/>
        </w:rPr>
        <w:footnoteRef/>
      </w:r>
      <w:r>
        <w:rPr>
          <w:sz w:val="16"/>
          <w:szCs w:val="16"/>
          <w:highlight w:val="white"/>
        </w:rPr>
        <w:t xml:space="preserve"> Условия данного пункта применяются в случае если для выполнения работ</w:t>
      </w:r>
      <w:r>
        <w:rPr>
          <w:sz w:val="16"/>
          <w:szCs w:val="16"/>
          <w:highlight w:val="white"/>
        </w:rPr>
        <w:t xml:space="preserve"> по настоящему </w:t>
      </w:r>
      <w:r>
        <w:rPr>
          <w:sz w:val="16"/>
          <w:szCs w:val="16"/>
          <w:highlight w:val="white"/>
        </w:rPr>
        <w:t xml:space="preserve">договору</w:t>
      </w:r>
      <w:r>
        <w:rPr>
          <w:sz w:val="16"/>
          <w:szCs w:val="16"/>
          <w:highlight w:val="white"/>
        </w:rPr>
        <w:t xml:space="preserve"> требуется удаленный доступ </w:t>
      </w:r>
      <w:r>
        <w:rPr>
          <w:sz w:val="16"/>
          <w:szCs w:val="16"/>
          <w:highlight w:val="white"/>
        </w:rPr>
        <w:t xml:space="preserve">работник</w:t>
      </w:r>
      <w:r>
        <w:rPr>
          <w:sz w:val="16"/>
          <w:szCs w:val="16"/>
          <w:highlight w:val="white"/>
        </w:rPr>
        <w:t xml:space="preserve">ам</w:t>
      </w:r>
      <w:r>
        <w:rPr>
          <w:sz w:val="16"/>
          <w:szCs w:val="16"/>
          <w:highlight w:val="white"/>
        </w:rPr>
        <w:t xml:space="preserve"> Подрядчика к ИТ – инфраструктуре Заказчика.</w:t>
      </w:r>
      <w:r>
        <w:rPr>
          <w:highlight w:val="white"/>
        </w:rPr>
        <w:t xml:space="preserve"> </w:t>
      </w:r>
      <w:r>
        <w:rPr>
          <w:highlight w:val="white"/>
        </w:rPr>
      </w:r>
      <w:r>
        <w:rPr>
          <w:highlight w:val="white"/>
        </w:rPr>
      </w:r>
    </w:p>
  </w:footnote>
  <w:footnote w:id="21">
    <w:p>
      <w:pPr>
        <w:pStyle w:val="1762"/>
      </w:pPr>
      <w:r>
        <w:rPr>
          <w:rStyle w:val="1763"/>
        </w:rPr>
        <w:footnoteRef/>
      </w:r>
      <w:r>
        <w:t xml:space="preserve"> </w:t>
      </w:r>
      <w:r>
        <w:rPr>
          <w:sz w:val="16"/>
          <w:szCs w:val="16"/>
        </w:rPr>
        <w:t xml:space="preserve">Прим</w:t>
      </w:r>
      <w:r>
        <w:rPr>
          <w:sz w:val="16"/>
          <w:szCs w:val="16"/>
        </w:rPr>
        <w:t xml:space="preserve">еняется необходимый документ в зависимости от предмета Договора.</w:t>
      </w:r>
      <w:r/>
    </w:p>
  </w:footnote>
  <w:footnote w:id="22">
    <w:p>
      <w:pPr>
        <w:pStyle w:val="1762"/>
      </w:pPr>
      <w:r>
        <w:rPr>
          <w:rStyle w:val="1763"/>
        </w:rPr>
        <w:footnoteRef/>
      </w:r>
      <w:r>
        <w:t xml:space="preserve"> </w:t>
      </w:r>
      <w:r>
        <w:rPr>
          <w:sz w:val="16"/>
          <w:szCs w:val="16"/>
        </w:rPr>
        <w:t xml:space="preserve">Применяется необходимый документ в зависимости от предмета Договора.</w:t>
      </w:r>
      <w:r/>
    </w:p>
  </w:footnote>
  <w:footnote w:id="23">
    <w:p>
      <w:pPr>
        <w:pStyle w:val="1762"/>
      </w:pPr>
      <w:r>
        <w:rPr>
          <w:rStyle w:val="1763"/>
        </w:rPr>
        <w:footnoteRef/>
      </w:r>
      <w:r>
        <w:t xml:space="preserve"> </w:t>
      </w:r>
      <w:r>
        <w:rPr>
          <w:sz w:val="16"/>
          <w:szCs w:val="16"/>
        </w:rPr>
        <w:t xml:space="preserve">Применяется необходимый документ в зависимости от предмета Договора.</w:t>
      </w:r>
      <w:r/>
    </w:p>
  </w:footnote>
  <w:footnote w:id="24">
    <w:p>
      <w:pPr>
        <w:pStyle w:val="1762"/>
      </w:pPr>
      <w:r>
        <w:rPr>
          <w:rStyle w:val="1763"/>
        </w:rPr>
        <w:footnoteRef/>
      </w:r>
      <w:r>
        <w:t xml:space="preserve"> </w:t>
      </w:r>
      <w:r>
        <w:rPr>
          <w:sz w:val="16"/>
          <w:szCs w:val="16"/>
        </w:rPr>
        <w:t xml:space="preserve">Применяется необходимый документ в зависимости от предмета Договора.</w:t>
      </w:r>
      <w:r/>
    </w:p>
  </w:footnote>
  <w:footnote w:id="25">
    <w:p>
      <w:pPr>
        <w:pStyle w:val="1762"/>
      </w:pPr>
      <w:r>
        <w:rPr>
          <w:rStyle w:val="1763"/>
        </w:rPr>
        <w:footnoteRef/>
      </w:r>
      <w:r>
        <w:t xml:space="preserve"> В соответствии с </w:t>
      </w:r>
      <w:r>
        <w:t xml:space="preserve">Техническим</w:t>
      </w:r>
      <w:r>
        <w:t xml:space="preserve"> заданием.</w:t>
      </w:r>
      <w:r/>
    </w:p>
  </w:footnote>
  <w:footnote w:id="26">
    <w:p>
      <w:pPr>
        <w:pStyle w:val="1762"/>
      </w:pPr>
      <w:r>
        <w:rPr>
          <w:rStyle w:val="1763"/>
        </w:rPr>
        <w:footnoteRef/>
      </w:r>
      <w:r>
        <w:t xml:space="preserve"> </w:t>
      </w:r>
      <w:r>
        <w:rPr>
          <w:sz w:val="16"/>
          <w:szCs w:val="16"/>
        </w:rPr>
        <w:t xml:space="preserve">Применяется необходимый документ в зависимости от предмета Договора.</w:t>
      </w:r>
      <w:r/>
    </w:p>
  </w:footnote>
  <w:footnote w:id="27">
    <w:p>
      <w:pPr>
        <w:pStyle w:val="1762"/>
      </w:pPr>
      <w:r>
        <w:rPr>
          <w:rStyle w:val="1763"/>
        </w:rPr>
        <w:footnoteRef/>
      </w:r>
      <w:r>
        <w:t xml:space="preserve"> </w:t>
      </w:r>
      <w:r>
        <w:rPr>
          <w:sz w:val="16"/>
          <w:szCs w:val="16"/>
        </w:rPr>
        <w:t xml:space="preserve">В соответствии с требованиями </w:t>
      </w:r>
      <w:r>
        <w:rPr>
          <w:i/>
          <w:iCs/>
          <w:sz w:val="16"/>
          <w:szCs w:val="16"/>
        </w:rPr>
        <w:t xml:space="preserve">Постановления Правительства Санкт-Петербурга</w:t>
      </w:r>
      <w:r>
        <w:rPr>
          <w:i/>
          <w:iCs/>
          <w:sz w:val="16"/>
          <w:szCs w:val="16"/>
        </w:rPr>
        <w:t xml:space="preserve"> от 06.10.2016 N 875.</w:t>
      </w:r>
      <w:r/>
    </w:p>
  </w:footnote>
  <w:footnote w:id="28">
    <w:p>
      <w:pPr>
        <w:pStyle w:val="1762"/>
      </w:pPr>
      <w:r>
        <w:rPr>
          <w:rStyle w:val="1763"/>
        </w:rPr>
        <w:footnoteRef/>
      </w:r>
      <w:r>
        <w:t xml:space="preserve"> </w:t>
      </w:r>
      <w:r>
        <w:rPr>
          <w:sz w:val="16"/>
          <w:szCs w:val="16"/>
        </w:rPr>
        <w:t xml:space="preserve">Применяется необходимый документ в зависимости от предмета Договора.</w:t>
      </w:r>
      <w:r/>
    </w:p>
  </w:footnote>
  <w:footnote w:id="29">
    <w:p>
      <w:pPr>
        <w:pStyle w:val="1762"/>
      </w:pPr>
      <w:r>
        <w:rPr>
          <w:rStyle w:val="1763"/>
        </w:rPr>
        <w:footnoteRef/>
      </w:r>
      <w:r>
        <w:t xml:space="preserve"> </w:t>
      </w:r>
      <w:r>
        <w:rPr>
          <w:sz w:val="16"/>
          <w:szCs w:val="16"/>
        </w:rPr>
        <w:t xml:space="preserve">Текст курсивом применяется в случае наличия обеспечительных мер (выбирается вариант в соответствии с видом обеспечения).</w:t>
      </w:r>
      <w:r/>
    </w:p>
  </w:footnote>
  <w:footnote w:id="30">
    <w:p>
      <w:pPr>
        <w:pStyle w:val="1762"/>
      </w:pPr>
      <w:r>
        <w:rPr>
          <w:rStyle w:val="1763"/>
        </w:rPr>
        <w:footnoteRef/>
      </w:r>
      <w:r>
        <w:t xml:space="preserve"> </w:t>
      </w:r>
      <w:r>
        <w:rPr>
          <w:sz w:val="16"/>
          <w:szCs w:val="16"/>
        </w:rPr>
        <w:t xml:space="preserve">Условия, изложенные в данном пункте, п</w:t>
      </w:r>
      <w:r>
        <w:rPr>
          <w:sz w:val="16"/>
          <w:szCs w:val="16"/>
        </w:rPr>
        <w:t xml:space="preserve">рименяются в случае наличия в Договоре требований о предоставлении обеспечения исполнения обязательств.</w:t>
      </w:r>
      <w:r/>
    </w:p>
  </w:footnote>
  <w:footnote w:id="31">
    <w:p>
      <w:pPr>
        <w:pStyle w:val="1762"/>
        <w:rPr>
          <w:sz w:val="16"/>
          <w:szCs w:val="16"/>
        </w:rPr>
      </w:pPr>
      <w:r>
        <w:rPr>
          <w:rStyle w:val="1763"/>
          <w:sz w:val="16"/>
          <w:szCs w:val="16"/>
        </w:rPr>
        <w:footnoteRef/>
      </w:r>
      <w:r>
        <w:rPr>
          <w:sz w:val="16"/>
          <w:szCs w:val="16"/>
        </w:rPr>
        <w:t xml:space="preserve"> Слова, выделенные курсивом, указываются при необходимости</w:t>
      </w:r>
      <w:r>
        <w:rPr>
          <w:sz w:val="16"/>
          <w:szCs w:val="16"/>
        </w:rPr>
      </w:r>
      <w:r>
        <w:rPr>
          <w:sz w:val="16"/>
          <w:szCs w:val="16"/>
        </w:rPr>
      </w:r>
    </w:p>
  </w:footnote>
  <w:footnote w:id="32">
    <w:p>
      <w:pPr>
        <w:pStyle w:val="1762"/>
        <w:rPr>
          <w:sz w:val="16"/>
          <w:szCs w:val="16"/>
        </w:rPr>
      </w:pPr>
      <w:r>
        <w:rPr>
          <w:rStyle w:val="1763"/>
          <w:sz w:val="16"/>
          <w:szCs w:val="16"/>
        </w:rPr>
        <w:footnoteRef/>
      </w:r>
      <w:r>
        <w:rPr>
          <w:sz w:val="16"/>
          <w:szCs w:val="16"/>
        </w:rPr>
        <w:t xml:space="preserve"> Вариант 2 применяется при заключении договора с организациями, входящими в структуру ПАО «</w:t>
      </w:r>
      <w:r>
        <w:rPr>
          <w:sz w:val="16"/>
          <w:szCs w:val="16"/>
        </w:rPr>
        <w:t xml:space="preserve">Россети</w:t>
      </w:r>
      <w:r>
        <w:rPr>
          <w:sz w:val="16"/>
          <w:szCs w:val="16"/>
        </w:rPr>
        <w:t xml:space="preserve">».</w:t>
      </w:r>
      <w:r>
        <w:rPr>
          <w:sz w:val="16"/>
          <w:szCs w:val="16"/>
        </w:rPr>
      </w:r>
      <w:r>
        <w:rPr>
          <w:sz w:val="16"/>
          <w:szCs w:val="16"/>
        </w:rPr>
      </w:r>
    </w:p>
  </w:footnote>
  <w:footnote w:id="33">
    <w:p>
      <w:pPr>
        <w:jc w:val="both"/>
        <w:rPr>
          <w:sz w:val="16"/>
          <w:szCs w:val="16"/>
          <w:highlight w:val="white"/>
        </w:rPr>
      </w:pPr>
      <w:r>
        <w:rPr>
          <w:rStyle w:val="1763"/>
          <w:sz w:val="16"/>
          <w:szCs w:val="16"/>
        </w:rPr>
        <w:footnoteRef/>
      </w:r>
      <w:r>
        <w:rPr>
          <w:sz w:val="16"/>
          <w:szCs w:val="16"/>
        </w:rPr>
        <w:t xml:space="preserve"> Раздел применяется только в случае если </w:t>
      </w:r>
      <w:r>
        <w:rPr>
          <w:bCs/>
          <w:sz w:val="16"/>
          <w:szCs w:val="16"/>
        </w:rPr>
        <w:t xml:space="preserve">начальная (максимальная) цена закупки либо цена договора с учетом дополнительных соглашений к договору (при их наличии) более </w:t>
      </w:r>
      <w:r>
        <w:rPr>
          <w:sz w:val="16"/>
          <w:szCs w:val="16"/>
        </w:rPr>
        <w:t xml:space="preserve">15 000 000,00 рублей с учетом всех установленных налогов и сборов;</w:t>
      </w:r>
      <w:r>
        <w:t xml:space="preserve"> </w:t>
      </w:r>
      <w:r>
        <w:rPr>
          <w:sz w:val="16"/>
          <w:szCs w:val="16"/>
        </w:rPr>
        <w:t xml:space="preserve">в случае не</w:t>
      </w:r>
      <w:r>
        <w:rPr>
          <w:sz w:val="16"/>
          <w:szCs w:val="16"/>
        </w:rPr>
        <w:t xml:space="preserve">обходимости предоставления обеспечения возврата авансовых платежей, а также в соответствии с тр</w:t>
      </w:r>
      <w:r>
        <w:rPr>
          <w:sz w:val="16"/>
          <w:szCs w:val="16"/>
          <w:highlight w:val="white"/>
        </w:rPr>
        <w:t xml:space="preserve">ебованиями и на условиях, указанных в разделе Док</w:t>
      </w:r>
      <w:r>
        <w:rPr>
          <w:sz w:val="16"/>
          <w:szCs w:val="16"/>
          <w:highlight w:val="white"/>
        </w:rPr>
        <w:t xml:space="preserve">ументации о закупке в случае предложения победителем закупки аномально низкой цены</w:t>
      </w:r>
      <w:r>
        <w:rPr>
          <w:sz w:val="16"/>
          <w:szCs w:val="16"/>
          <w:highlight w:val="white"/>
          <w:lang w:eastAsia="ar-SA"/>
        </w:rPr>
        <w:t xml:space="preserve"> в независимости от </w:t>
      </w:r>
      <w:r>
        <w:rPr>
          <w:bCs/>
          <w:sz w:val="16"/>
          <w:szCs w:val="16"/>
          <w:highlight w:val="white"/>
          <w:lang w:eastAsia="ar-SA"/>
        </w:rPr>
        <w:t xml:space="preserve">начальной </w:t>
      </w:r>
      <w:r>
        <w:rPr>
          <w:bCs/>
          <w:sz w:val="16"/>
          <w:szCs w:val="16"/>
          <w:highlight w:val="white"/>
          <w:lang w:eastAsia="ar-SA"/>
        </w:rPr>
        <w:t xml:space="preserve">(максимальной) цены</w:t>
      </w:r>
      <w:r>
        <w:rPr>
          <w:sz w:val="16"/>
          <w:szCs w:val="16"/>
          <w:highlight w:val="white"/>
          <w:lang w:eastAsia="ar-SA"/>
        </w:rPr>
        <w:t xml:space="preserve"> закупки</w:t>
      </w:r>
      <w:r>
        <w:rPr>
          <w:bCs/>
          <w:sz w:val="16"/>
          <w:szCs w:val="16"/>
          <w:highlight w:val="white"/>
        </w:rPr>
        <w:t xml:space="preserve">.</w:t>
      </w:r>
      <w:r>
        <w:rPr>
          <w:sz w:val="16"/>
          <w:szCs w:val="16"/>
          <w:highlight w:val="white"/>
        </w:rPr>
      </w:r>
      <w:r>
        <w:rPr>
          <w:sz w:val="16"/>
          <w:szCs w:val="16"/>
          <w:highlight w:val="white"/>
        </w:rPr>
      </w:r>
    </w:p>
  </w:footnote>
  <w:footnote w:id="34">
    <w:p>
      <w:pPr>
        <w:pStyle w:val="1762"/>
        <w:jc w:val="both"/>
        <w:rPr>
          <w:highlight w:val="white"/>
        </w:rPr>
      </w:pPr>
      <w:r>
        <w:rPr>
          <w:rStyle w:val="1763"/>
          <w:sz w:val="16"/>
          <w:szCs w:val="16"/>
          <w:highlight w:val="white"/>
        </w:rPr>
        <w:footnoteRef/>
      </w:r>
      <w:r>
        <w:rPr>
          <w:sz w:val="16"/>
          <w:szCs w:val="16"/>
          <w:highlight w:val="white"/>
        </w:rPr>
        <w:t xml:space="preserve"> </w:t>
      </w:r>
      <w:r>
        <w:rPr>
          <w:sz w:val="16"/>
          <w:szCs w:val="16"/>
          <w:highlight w:val="white"/>
        </w:rPr>
        <w:t xml:space="preserve">В разделе указываются виды, финансового обеспечения, применяемые при исполнении данного договора: на возврат аванса и/или на исполнение обязательств по договору и/или на гарантийные обязательства.</w:t>
      </w:r>
      <w:r>
        <w:rPr>
          <w:highlight w:val="white"/>
        </w:rPr>
      </w:r>
      <w:r>
        <w:rPr>
          <w:highlight w:val="white"/>
        </w:rPr>
      </w:r>
    </w:p>
  </w:footnote>
  <w:footnote w:id="35">
    <w:p>
      <w:pPr>
        <w:pStyle w:val="1762"/>
        <w:jc w:val="both"/>
        <w:rPr>
          <w:sz w:val="16"/>
          <w:szCs w:val="16"/>
        </w:rPr>
      </w:pPr>
      <w:r>
        <w:rPr>
          <w:rStyle w:val="1763"/>
          <w:sz w:val="16"/>
          <w:szCs w:val="16"/>
        </w:rPr>
        <w:footnoteRef/>
      </w:r>
      <w:r>
        <w:rPr>
          <w:sz w:val="16"/>
          <w:szCs w:val="16"/>
        </w:rPr>
        <w:t xml:space="preserve"> 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r>
        <w:rPr>
          <w:sz w:val="16"/>
          <w:szCs w:val="16"/>
        </w:rPr>
        <w:t xml:space="preserve">бенефициарных</w:t>
      </w:r>
      <w:r>
        <w:rPr>
          <w:sz w:val="16"/>
          <w:szCs w:val="16"/>
        </w:rPr>
        <w:t xml:space="preserve"> </w:t>
      </w:r>
      <w:r>
        <w:rPr>
          <w:spacing w:val="-4"/>
          <w:sz w:val="16"/>
          <w:szCs w:val="16"/>
        </w:rPr>
        <w:t xml:space="preserve">владельцев (если совокупн</w:t>
      </w:r>
      <w:r>
        <w:rPr>
          <w:spacing w:val="-4"/>
          <w:sz w:val="16"/>
          <w:szCs w:val="16"/>
        </w:rPr>
        <w:t xml:space="preserve">ая доля их прямого и (или) косвенного участия в этой</w:t>
      </w:r>
      <w:r>
        <w:rPr>
          <w:sz w:val="16"/>
          <w:szCs w:val="16"/>
        </w:rPr>
        <w:t xml:space="preserve"> организации составляет не менее 25 процентов) которых иностранными государствами введены ограничительные меры, обеспечение по договору может быть представлено в форме поручительства аффилированных с таки</w:t>
      </w:r>
      <w:r>
        <w:rPr>
          <w:sz w:val="16"/>
          <w:szCs w:val="16"/>
        </w:rPr>
        <w:t xml:space="preserve">ми организациями - участниками закупки лиц, по форме приложения №10 к Договору. В этом случае, требования Раздела 13 не применяются, кроме требований, выдвигаемым к поручителям</w:t>
      </w:r>
      <w:r>
        <w:rPr>
          <w:sz w:val="16"/>
          <w:szCs w:val="16"/>
          <w:lang w:eastAsia="ar-SA"/>
        </w:rPr>
        <w:t xml:space="preserve">.</w:t>
      </w:r>
      <w:r>
        <w:rPr>
          <w:sz w:val="16"/>
          <w:szCs w:val="16"/>
        </w:rPr>
      </w:r>
      <w:r>
        <w:rPr>
          <w:sz w:val="16"/>
          <w:szCs w:val="16"/>
        </w:rPr>
      </w:r>
    </w:p>
  </w:footnote>
  <w:footnote w:id="36">
    <w:p>
      <w:pPr>
        <w:pStyle w:val="1762"/>
        <w:jc w:val="both"/>
        <w:rPr>
          <w:sz w:val="16"/>
          <w:szCs w:val="16"/>
        </w:rPr>
      </w:pPr>
      <w:r>
        <w:rPr>
          <w:rStyle w:val="1763"/>
          <w:sz w:val="16"/>
          <w:szCs w:val="16"/>
        </w:rPr>
        <w:footnoteRef/>
      </w:r>
      <w:r>
        <w:rPr>
          <w:sz w:val="16"/>
          <w:szCs w:val="16"/>
        </w:rPr>
        <w:t xml:space="preserve"> Данный вид обеспечения применяется в случае если сумма аванса по договору бол</w:t>
      </w:r>
      <w:r>
        <w:rPr>
          <w:sz w:val="16"/>
          <w:szCs w:val="16"/>
        </w:rPr>
        <w:t xml:space="preserve">ее 500 000 рублей.</w:t>
      </w:r>
      <w:r>
        <w:rPr>
          <w:sz w:val="16"/>
          <w:szCs w:val="16"/>
        </w:rPr>
      </w:r>
      <w:r>
        <w:rPr>
          <w:sz w:val="16"/>
          <w:szCs w:val="16"/>
        </w:rPr>
      </w:r>
    </w:p>
  </w:footnote>
  <w:footnote w:id="37">
    <w:p>
      <w:pPr>
        <w:pStyle w:val="1762"/>
        <w:jc w:val="both"/>
      </w:pPr>
      <w:r>
        <w:rPr>
          <w:rStyle w:val="1763"/>
          <w:sz w:val="16"/>
          <w:szCs w:val="16"/>
        </w:rPr>
        <w:footnoteRef/>
      </w:r>
      <w:r>
        <w:rPr>
          <w:sz w:val="16"/>
          <w:szCs w:val="16"/>
        </w:rPr>
        <w:t xml:space="preserve"> Данный вид обеспечения применяется</w:t>
      </w:r>
      <w:r>
        <w:t xml:space="preserve"> </w:t>
      </w:r>
      <w:r>
        <w:rPr>
          <w:sz w:val="16"/>
          <w:szCs w:val="16"/>
        </w:rPr>
        <w:t xml:space="preserve">в случае если </w:t>
      </w:r>
      <w:r>
        <w:rPr>
          <w:bCs/>
          <w:sz w:val="16"/>
          <w:szCs w:val="16"/>
        </w:rPr>
        <w:t xml:space="preserve">начальная (максимальная) цена закупки либо цена договора с учетом дополнительных соглашений к договору (при их наличии) более </w:t>
      </w:r>
      <w:r>
        <w:rPr>
          <w:sz w:val="16"/>
          <w:szCs w:val="16"/>
        </w:rPr>
        <w:t xml:space="preserve">15 000 000,00 рублей с учетом всех установленных налогов и с</w:t>
      </w:r>
      <w:r>
        <w:rPr>
          <w:sz w:val="16"/>
          <w:szCs w:val="16"/>
        </w:rPr>
        <w:t xml:space="preserve">боров, а также в случае предложения победителем закупки аномально низкой цены.</w:t>
      </w:r>
      <w:r/>
    </w:p>
  </w:footnote>
  <w:footnote w:id="38">
    <w:p>
      <w:pPr>
        <w:pStyle w:val="1762"/>
        <w:jc w:val="both"/>
        <w:rPr>
          <w:sz w:val="16"/>
          <w:szCs w:val="16"/>
        </w:rPr>
      </w:pPr>
      <w:r>
        <w:rPr>
          <w:rStyle w:val="1763"/>
          <w:sz w:val="16"/>
          <w:szCs w:val="16"/>
        </w:rPr>
        <w:footnoteRef/>
      </w:r>
      <w:r>
        <w:rPr>
          <w:sz w:val="16"/>
          <w:szCs w:val="16"/>
        </w:rPr>
        <w:t xml:space="preserve"> Данный вид обеспечения применяется в случае, если начальная (максимальная) цена закупки либо цена договора с учетом дополнительных соглашений к договору (при их наличии) более</w:t>
      </w:r>
      <w:r>
        <w:rPr>
          <w:sz w:val="16"/>
          <w:szCs w:val="16"/>
        </w:rPr>
        <w:t xml:space="preserve"> 15 000 000,00 рублей с учетом всех установленных налогов и сборов, и срок гарантийных обязательств по договору более 3 месяцев</w:t>
      </w:r>
      <w:r>
        <w:rPr>
          <w:sz w:val="16"/>
          <w:szCs w:val="16"/>
        </w:rPr>
      </w:r>
      <w:r>
        <w:rPr>
          <w:sz w:val="16"/>
          <w:szCs w:val="16"/>
        </w:rPr>
      </w:r>
    </w:p>
  </w:footnote>
  <w:footnote w:id="39">
    <w:p>
      <w:pPr>
        <w:jc w:val="both"/>
      </w:pPr>
      <w:r>
        <w:rPr>
          <w:rStyle w:val="1763"/>
          <w:sz w:val="16"/>
          <w:szCs w:val="16"/>
        </w:rPr>
        <w:footnoteRef/>
      </w:r>
      <w:r>
        <w:rPr>
          <w:sz w:val="16"/>
          <w:szCs w:val="16"/>
          <w:lang w:eastAsia="ar-SA"/>
        </w:rPr>
        <w:t xml:space="preserve">Условия данного раздела не применяются в случае, если Контрагентом по договору является орган государственной власти, орган мес</w:t>
      </w:r>
      <w:r>
        <w:rPr>
          <w:sz w:val="16"/>
          <w:szCs w:val="16"/>
          <w:lang w:eastAsia="ar-SA"/>
        </w:rPr>
        <w:t xml:space="preserve">тного самоуправления, организация, являющаяся единственным поставщиком товаров (работ, услуг) для ПАО «</w:t>
      </w:r>
      <w:r>
        <w:rPr>
          <w:sz w:val="16"/>
          <w:szCs w:val="16"/>
          <w:lang w:eastAsia="ar-SA"/>
        </w:rPr>
        <w:t xml:space="preserve">Россети</w:t>
      </w:r>
      <w:r>
        <w:rPr>
          <w:sz w:val="16"/>
          <w:szCs w:val="16"/>
          <w:lang w:eastAsia="ar-SA"/>
        </w:rPr>
        <w:t xml:space="preserve"> Ленэнерго» (монопольные организации, операторы связи, поставщики услуг ЖКХ и т.д.), формы договоров которых не подлежат изменению.</w:t>
      </w:r>
      <w:r>
        <w:rPr>
          <w:rFonts w:eastAsia="Calibri"/>
          <w:sz w:val="16"/>
          <w:szCs w:val="16"/>
        </w:rPr>
        <w:t xml:space="preserve"> </w:t>
      </w:r>
      <w:r/>
    </w:p>
  </w:footnote>
  <w:footnote w:id="40">
    <w:p>
      <w:pPr>
        <w:pStyle w:val="1762"/>
        <w:rPr>
          <w:sz w:val="16"/>
          <w:szCs w:val="16"/>
        </w:rPr>
      </w:pPr>
      <w:r>
        <w:rPr>
          <w:rStyle w:val="1763"/>
          <w:sz w:val="16"/>
          <w:szCs w:val="16"/>
        </w:rPr>
        <w:footnoteRef/>
      </w:r>
      <w:r>
        <w:rPr>
          <w:sz w:val="16"/>
          <w:szCs w:val="16"/>
        </w:rPr>
        <w:t xml:space="preserve"> Вариант применяется для договоров, заключаемых с контрагентами, не являющимися ДО ПАО «</w:t>
      </w:r>
      <w:r>
        <w:rPr>
          <w:sz w:val="16"/>
          <w:szCs w:val="16"/>
        </w:rPr>
        <w:t xml:space="preserve">Россети</w:t>
      </w:r>
      <w:r>
        <w:rPr>
          <w:sz w:val="16"/>
          <w:szCs w:val="16"/>
        </w:rPr>
        <w:t xml:space="preserve">».  </w:t>
      </w:r>
      <w:r>
        <w:rPr>
          <w:sz w:val="16"/>
          <w:szCs w:val="16"/>
        </w:rPr>
      </w:r>
      <w:r>
        <w:rPr>
          <w:sz w:val="16"/>
          <w:szCs w:val="16"/>
        </w:rPr>
      </w:r>
    </w:p>
  </w:footnote>
  <w:footnote w:id="41">
    <w:p>
      <w:pPr>
        <w:pStyle w:val="1762"/>
        <w:rPr>
          <w:sz w:val="16"/>
          <w:szCs w:val="16"/>
        </w:rPr>
      </w:pPr>
      <w:r>
        <w:rPr>
          <w:rStyle w:val="1763"/>
          <w:sz w:val="16"/>
          <w:szCs w:val="16"/>
        </w:rPr>
        <w:footnoteRef/>
      </w:r>
      <w:r>
        <w:rPr>
          <w:sz w:val="16"/>
          <w:szCs w:val="16"/>
        </w:rPr>
        <w:t xml:space="preserve"> Вариант применяется для договоров, заключаемых с контрагентами, являющимися ДО ПАО «</w:t>
      </w:r>
      <w:r>
        <w:rPr>
          <w:sz w:val="16"/>
          <w:szCs w:val="16"/>
        </w:rPr>
        <w:t xml:space="preserve">Россети</w:t>
      </w:r>
      <w:r>
        <w:rPr>
          <w:sz w:val="16"/>
          <w:szCs w:val="16"/>
        </w:rPr>
        <w:t xml:space="preserve">»</w:t>
      </w:r>
      <w:r>
        <w:rPr>
          <w:sz w:val="16"/>
          <w:szCs w:val="16"/>
        </w:rPr>
      </w:r>
      <w:r>
        <w:rPr>
          <w:sz w:val="16"/>
          <w:szCs w:val="16"/>
        </w:rPr>
      </w:r>
    </w:p>
  </w:footnote>
  <w:footnote w:id="42">
    <w:p>
      <w:pPr>
        <w:pStyle w:val="1762"/>
        <w:rPr>
          <w:highlight w:val="white"/>
        </w:rPr>
      </w:pPr>
      <w:r>
        <w:rPr>
          <w:rStyle w:val="1763"/>
        </w:rPr>
        <w:footnoteRef/>
      </w:r>
      <w:r>
        <w:t xml:space="preserve"> </w:t>
      </w:r>
      <w:r>
        <w:rPr>
          <w:sz w:val="16"/>
          <w:szCs w:val="16"/>
        </w:rPr>
        <w:t xml:space="preserve">Применяетс</w:t>
      </w:r>
      <w:r>
        <w:rPr>
          <w:sz w:val="16"/>
          <w:szCs w:val="16"/>
          <w:highlight w:val="white"/>
        </w:rPr>
        <w:t xml:space="preserve">я для Заявок, </w:t>
      </w:r>
      <w:r>
        <w:rPr>
          <w:sz w:val="16"/>
          <w:szCs w:val="16"/>
          <w:highlight w:val="white"/>
        </w:rPr>
        <w:t xml:space="preserve">выдаваем</w:t>
      </w:r>
      <w:r>
        <w:rPr>
          <w:sz w:val="16"/>
          <w:szCs w:val="16"/>
          <w:highlight w:val="white"/>
        </w:rPr>
        <w:t xml:space="preserve">ых</w:t>
      </w:r>
      <w:r>
        <w:rPr>
          <w:sz w:val="16"/>
          <w:szCs w:val="16"/>
          <w:highlight w:val="white"/>
        </w:rPr>
        <w:t xml:space="preserve"> для</w:t>
      </w:r>
      <w:r>
        <w:rPr>
          <w:color w:val="000000" w:themeColor="text1"/>
          <w:sz w:val="16"/>
          <w:szCs w:val="16"/>
          <w:highlight w:val="white"/>
        </w:rPr>
        <w:t xml:space="preserve"> реализации дополнительных (нетарифных) услуг</w:t>
      </w:r>
      <w:r>
        <w:rPr>
          <w:color w:val="000000" w:themeColor="text1"/>
          <w:sz w:val="16"/>
          <w:szCs w:val="16"/>
          <w:highlight w:val="white"/>
        </w:rPr>
        <w:t xml:space="preserve">.</w:t>
      </w:r>
      <w:r>
        <w:rPr>
          <w:highlight w:val="white"/>
        </w:rPr>
      </w:r>
      <w:r>
        <w:rPr>
          <w:highlight w:val="white"/>
        </w:rPr>
      </w:r>
    </w:p>
  </w:footnote>
  <w:footnote w:id="43">
    <w:p>
      <w:pPr>
        <w:pStyle w:val="1762"/>
        <w:jc w:val="both"/>
        <w:rPr>
          <w:highlight w:val="white"/>
        </w:rPr>
      </w:pPr>
      <w:r>
        <w:rPr>
          <w:rStyle w:val="1763"/>
          <w:highlight w:val="white"/>
        </w:rPr>
        <w:footnoteRef/>
      </w:r>
      <w:r>
        <w:rPr>
          <w:highlight w:val="white"/>
        </w:rPr>
        <w:t xml:space="preserve"> </w:t>
      </w:r>
      <w:r>
        <w:rPr>
          <w:sz w:val="16"/>
          <w:szCs w:val="16"/>
          <w:highlight w:val="white"/>
        </w:rPr>
        <w:t xml:space="preserve">Приложение применяется</w:t>
      </w:r>
      <w:r>
        <w:rPr>
          <w:sz w:val="24"/>
          <w:szCs w:val="24"/>
          <w:highlight w:val="white"/>
        </w:rPr>
        <w:t xml:space="preserve"> </w:t>
      </w:r>
      <w:r>
        <w:rPr>
          <w:sz w:val="16"/>
          <w:szCs w:val="16"/>
          <w:highlight w:val="white"/>
        </w:rPr>
        <w:t xml:space="preserve">для договора, заключаемого по результатам закупочной процедуры с </w:t>
      </w:r>
      <w:r>
        <w:rPr>
          <w:bCs/>
          <w:sz w:val="16"/>
          <w:szCs w:val="16"/>
          <w:highlight w:val="white"/>
        </w:rPr>
        <w:t xml:space="preserve">начальной (максимальной) </w:t>
      </w:r>
      <w:r>
        <w:rPr>
          <w:bCs/>
          <w:sz w:val="16"/>
          <w:szCs w:val="16"/>
          <w:highlight w:val="white"/>
        </w:rPr>
        <w:t xml:space="preserve">ценой  </w:t>
      </w:r>
      <w:r>
        <w:rPr>
          <w:sz w:val="16"/>
          <w:szCs w:val="16"/>
          <w:highlight w:val="white"/>
        </w:rPr>
        <w:t xml:space="preserve">15</w:t>
      </w:r>
      <w:r>
        <w:rPr>
          <w:sz w:val="16"/>
          <w:szCs w:val="16"/>
          <w:highlight w:val="white"/>
        </w:rPr>
        <w:t xml:space="preserve"> 000 000,00 рублей и менее, с учетом всех установленных налогов и </w:t>
      </w:r>
      <w:r>
        <w:rPr>
          <w:bCs/>
          <w:sz w:val="16"/>
          <w:szCs w:val="16"/>
          <w:highlight w:val="white"/>
        </w:rPr>
        <w:t xml:space="preserve">сборов, при отсутствии дополнительных соглашений, увеличивающих стоимость договора свыше 15</w:t>
      </w:r>
      <w:r>
        <w:rPr>
          <w:bCs/>
          <w:sz w:val="16"/>
          <w:szCs w:val="16"/>
          <w:highlight w:val="white"/>
        </w:rPr>
        <w:t xml:space="preserve"> 000 000,00 рублей с учетом всех установленных налогов и сборов, при условии отсутствия требований по </w:t>
      </w:r>
      <w:r>
        <w:rPr>
          <w:bCs/>
          <w:sz w:val="16"/>
          <w:szCs w:val="16"/>
          <w:highlight w:val="white"/>
        </w:rPr>
        <w:t xml:space="preserve">предоставлению обеспечительных мер в случае предложения победителем закупки аномально низкой цены.</w:t>
      </w:r>
      <w:r>
        <w:rPr>
          <w:highlight w:val="white"/>
        </w:rPr>
      </w:r>
      <w:r>
        <w:rPr>
          <w:highlight w:val="white"/>
        </w:rPr>
      </w:r>
    </w:p>
  </w:footnote>
  <w:footnote w:id="44">
    <w:p>
      <w:pPr>
        <w:pStyle w:val="1762"/>
        <w:jc w:val="both"/>
        <w:rPr>
          <w:highlight w:val="white"/>
        </w:rPr>
      </w:pPr>
      <w:r>
        <w:rPr>
          <w:rStyle w:val="1763"/>
          <w:sz w:val="16"/>
          <w:szCs w:val="16"/>
          <w:highlight w:val="white"/>
        </w:rPr>
        <w:footnoteRef/>
      </w:r>
      <w:r>
        <w:rPr>
          <w:sz w:val="16"/>
          <w:szCs w:val="16"/>
          <w:highlight w:val="white"/>
        </w:rPr>
        <w:t xml:space="preserve"> П</w:t>
      </w:r>
      <w:r>
        <w:rPr>
          <w:sz w:val="16"/>
          <w:szCs w:val="16"/>
          <w:highlight w:val="white"/>
        </w:rPr>
        <w:t xml:space="preserve">риложение применяется </w:t>
      </w:r>
      <w:r>
        <w:rPr>
          <w:sz w:val="16"/>
          <w:szCs w:val="16"/>
          <w:highlight w:val="white"/>
        </w:rPr>
        <w:t xml:space="preserve">в случае если для выполнения работ</w:t>
      </w:r>
      <w:r>
        <w:rPr>
          <w:sz w:val="16"/>
          <w:szCs w:val="16"/>
          <w:highlight w:val="white"/>
        </w:rPr>
        <w:t xml:space="preserve"> по настоящему </w:t>
      </w:r>
      <w:r>
        <w:rPr>
          <w:sz w:val="16"/>
          <w:szCs w:val="16"/>
          <w:highlight w:val="white"/>
        </w:rPr>
        <w:t xml:space="preserve">договору</w:t>
      </w:r>
      <w:r>
        <w:rPr>
          <w:sz w:val="16"/>
          <w:szCs w:val="16"/>
          <w:highlight w:val="white"/>
        </w:rPr>
        <w:t xml:space="preserve"> требуется удаленный доступ </w:t>
      </w:r>
      <w:r>
        <w:rPr>
          <w:sz w:val="16"/>
          <w:szCs w:val="16"/>
          <w:highlight w:val="white"/>
        </w:rPr>
        <w:t xml:space="preserve">работник</w:t>
      </w:r>
      <w:r>
        <w:rPr>
          <w:sz w:val="16"/>
          <w:szCs w:val="16"/>
          <w:highlight w:val="white"/>
        </w:rPr>
        <w:t xml:space="preserve">ам</w:t>
      </w:r>
      <w:r>
        <w:rPr>
          <w:sz w:val="16"/>
          <w:szCs w:val="16"/>
          <w:highlight w:val="white"/>
        </w:rPr>
        <w:t xml:space="preserve"> Подрядчика к ИТ – инфраструктуре Заказчика.</w:t>
      </w:r>
      <w:r>
        <w:rPr>
          <w:highlight w:val="white"/>
        </w:rPr>
        <w:t xml:space="preserve"> </w:t>
      </w:r>
      <w:r>
        <w:rPr>
          <w:highlight w:val="white"/>
        </w:rPr>
      </w:r>
      <w:r>
        <w:rPr>
          <w:highlight w:val="white"/>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764"/>
      <w:jc w:val="right"/>
      <w:rPr>
        <w:i/>
        <w:sz w:val="20"/>
        <w:szCs w:val="20"/>
      </w:rPr>
    </w:pPr>
    <w:r>
      <w:rPr>
        <w:i/>
        <w:sz w:val="20"/>
        <w:szCs w:val="20"/>
      </w:rPr>
      <w:t xml:space="preserve">Для </w:t>
    </w:r>
    <w:r>
      <w:rPr>
        <w:i/>
        <w:sz w:val="20"/>
        <w:szCs w:val="20"/>
      </w:rPr>
      <w:t xml:space="preserve">объектов</w:t>
    </w:r>
    <w:r>
      <w:rPr>
        <w:i/>
        <w:sz w:val="20"/>
        <w:szCs w:val="20"/>
      </w:rPr>
      <w:t xml:space="preserve"> 0,4-110 </w:t>
    </w:r>
    <w:r>
      <w:rPr>
        <w:i/>
        <w:sz w:val="20"/>
        <w:szCs w:val="20"/>
      </w:rPr>
      <w:t xml:space="preserve">кВ</w:t>
    </w:r>
    <w:r>
      <w:rPr>
        <w:i/>
        <w:sz w:val="20"/>
        <w:szCs w:val="20"/>
      </w:rPr>
      <w:t xml:space="preserve"> (ТП и надежность)</w:t>
    </w:r>
    <w:r>
      <w:rPr>
        <w:i/>
        <w:sz w:val="20"/>
        <w:szCs w:val="20"/>
      </w:rPr>
    </w:r>
    <w:r>
      <w:rPr>
        <w:i/>
        <w:sz w:val="20"/>
        <w:szCs w:val="20"/>
      </w:rPr>
    </w:r>
  </w:p>
  <w:p>
    <w:pPr>
      <w:pStyle w:val="1764"/>
      <w:jc w:val="center"/>
      <w:rPr>
        <w:b/>
        <w:color w:val="ff0000"/>
        <w:sz w:val="20"/>
        <w:szCs w:val="20"/>
      </w:rPr>
    </w:pPr>
    <w:r>
      <w:rPr>
        <w:b/>
        <w:color w:val="ff0000"/>
        <w:sz w:val="20"/>
        <w:szCs w:val="20"/>
      </w:rPr>
    </w:r>
    <w:r>
      <w:rPr>
        <w:b/>
        <w:color w:val="ff0000"/>
        <w:sz w:val="20"/>
        <w:szCs w:val="20"/>
      </w:rPr>
    </w:r>
    <w:r>
      <w:rPr>
        <w:b/>
        <w:color w:val="ff0000"/>
        <w:sz w:val="20"/>
        <w:szCs w:val="20"/>
      </w:rPr>
    </w:r>
  </w:p>
  <w:p>
    <w:pPr>
      <w:pStyle w:val="1764"/>
      <w:jc w:val="center"/>
    </w:pPr>
    <w:r>
      <w:rPr>
        <w:b/>
        <w:color w:val="ff0000"/>
      </w:rPr>
      <w:t xml:space="preserve">Типовая форма </w:t>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1428" w:hanging="360"/>
      </w:pPr>
      <w:rPr>
        <w:rFonts w:hint="default" w:ascii="Symbol" w:hAnsi="Symbol"/>
      </w:rPr>
    </w:lvl>
    <w:lvl w:ilvl="1">
      <w:start w:val="1"/>
      <w:numFmt w:val="bullet"/>
      <w:isLgl w:val="false"/>
      <w:suff w:val="tab"/>
      <w:lvlText w:val="o"/>
      <w:lvlJc w:val="left"/>
      <w:pPr>
        <w:ind w:left="2148" w:hanging="360"/>
      </w:pPr>
      <w:rPr>
        <w:rFonts w:hint="default" w:ascii="Courier New" w:hAnsi="Courier New" w:cs="Courier New"/>
      </w:rPr>
    </w:lvl>
    <w:lvl w:ilvl="2">
      <w:start w:val="1"/>
      <w:numFmt w:val="bullet"/>
      <w:isLgl w:val="false"/>
      <w:suff w:val="tab"/>
      <w:lvlText w:val=""/>
      <w:lvlJc w:val="left"/>
      <w:pPr>
        <w:ind w:left="2868" w:hanging="360"/>
      </w:pPr>
      <w:rPr>
        <w:rFonts w:hint="default" w:ascii="Wingdings" w:hAnsi="Wingdings"/>
      </w:rPr>
    </w:lvl>
    <w:lvl w:ilvl="3">
      <w:start w:val="1"/>
      <w:numFmt w:val="bullet"/>
      <w:isLgl w:val="false"/>
      <w:suff w:val="tab"/>
      <w:lvlText w:val=""/>
      <w:lvlJc w:val="left"/>
      <w:pPr>
        <w:ind w:left="3588" w:hanging="360"/>
      </w:pPr>
      <w:rPr>
        <w:rFonts w:hint="default" w:ascii="Symbol" w:hAnsi="Symbol"/>
      </w:rPr>
    </w:lvl>
    <w:lvl w:ilvl="4">
      <w:start w:val="1"/>
      <w:numFmt w:val="bullet"/>
      <w:isLgl w:val="false"/>
      <w:suff w:val="tab"/>
      <w:lvlText w:val="o"/>
      <w:lvlJc w:val="left"/>
      <w:pPr>
        <w:ind w:left="4308" w:hanging="360"/>
      </w:pPr>
      <w:rPr>
        <w:rFonts w:hint="default" w:ascii="Courier New" w:hAnsi="Courier New" w:cs="Courier New"/>
      </w:rPr>
    </w:lvl>
    <w:lvl w:ilvl="5">
      <w:start w:val="1"/>
      <w:numFmt w:val="bullet"/>
      <w:isLgl w:val="false"/>
      <w:suff w:val="tab"/>
      <w:lvlText w:val=""/>
      <w:lvlJc w:val="left"/>
      <w:pPr>
        <w:ind w:left="5028" w:hanging="360"/>
      </w:pPr>
      <w:rPr>
        <w:rFonts w:hint="default" w:ascii="Wingdings" w:hAnsi="Wingdings"/>
      </w:rPr>
    </w:lvl>
    <w:lvl w:ilvl="6">
      <w:start w:val="1"/>
      <w:numFmt w:val="bullet"/>
      <w:isLgl w:val="false"/>
      <w:suff w:val="tab"/>
      <w:lvlText w:val=""/>
      <w:lvlJc w:val="left"/>
      <w:pPr>
        <w:ind w:left="5748" w:hanging="360"/>
      </w:pPr>
      <w:rPr>
        <w:rFonts w:hint="default" w:ascii="Symbol" w:hAnsi="Symbol"/>
      </w:rPr>
    </w:lvl>
    <w:lvl w:ilvl="7">
      <w:start w:val="1"/>
      <w:numFmt w:val="bullet"/>
      <w:isLgl w:val="false"/>
      <w:suff w:val="tab"/>
      <w:lvlText w:val="o"/>
      <w:lvlJc w:val="left"/>
      <w:pPr>
        <w:ind w:left="6468" w:hanging="360"/>
      </w:pPr>
      <w:rPr>
        <w:rFonts w:hint="default" w:ascii="Courier New" w:hAnsi="Courier New" w:cs="Courier New"/>
      </w:rPr>
    </w:lvl>
    <w:lvl w:ilvl="8">
      <w:start w:val="1"/>
      <w:numFmt w:val="bullet"/>
      <w:isLgl w:val="false"/>
      <w:suff w:val="tab"/>
      <w:lvlText w:val=""/>
      <w:lvlJc w:val="left"/>
      <w:pPr>
        <w:ind w:left="7188" w:hanging="360"/>
      </w:pPr>
      <w:rPr>
        <w:rFonts w:hint="default" w:ascii="Wingdings" w:hAnsi="Wingdings"/>
      </w:rPr>
    </w:lvl>
  </w:abstractNum>
  <w:abstractNum w:abstractNumId="1">
    <w:multiLevelType w:val="hybridMultilevel"/>
    <w:lvl w:ilvl="0">
      <w:start w:val="10"/>
      <w:numFmt w:val="decimal"/>
      <w:isLgl w:val="false"/>
      <w:suff w:val="tab"/>
      <w:lvlText w:val="%1."/>
      <w:lvlJc w:val="left"/>
      <w:pPr>
        <w:ind w:left="480" w:hanging="480"/>
      </w:pPr>
      <w:rPr>
        <w:rFonts w:hint="default"/>
      </w:rPr>
    </w:lvl>
    <w:lvl w:ilvl="1">
      <w:start w:val="1"/>
      <w:numFmt w:val="decimal"/>
      <w:isLgl w:val="false"/>
      <w:suff w:val="tab"/>
      <w:lvlText w:val="%1.%2."/>
      <w:lvlJc w:val="left"/>
      <w:pPr>
        <w:ind w:left="480" w:hanging="480"/>
      </w:pPr>
      <w:rPr>
        <w:rFonts w:hint="default"/>
        <w:b w:val="0"/>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2">
    <w:multiLevelType w:val="hybridMultilevel"/>
    <w:lvl w:ilvl="0">
      <w:start w:val="13"/>
      <w:numFmt w:val="decimal"/>
      <w:isLgl w:val="false"/>
      <w:suff w:val="tab"/>
      <w:lvlText w:val="%1"/>
      <w:lvlJc w:val="left"/>
      <w:pPr>
        <w:ind w:left="375" w:hanging="375"/>
      </w:pPr>
      <w:rPr>
        <w:rFonts w:hint="default"/>
        <w:b w:val="0"/>
        <w:i/>
      </w:rPr>
    </w:lvl>
    <w:lvl w:ilvl="1">
      <w:start w:val="1"/>
      <w:numFmt w:val="decimal"/>
      <w:isLgl w:val="false"/>
      <w:suff w:val="tab"/>
      <w:lvlText w:val="%1.%2"/>
      <w:lvlJc w:val="left"/>
      <w:pPr>
        <w:ind w:left="1368" w:hanging="375"/>
      </w:pPr>
      <w:rPr>
        <w:rFonts w:hint="default"/>
        <w:b w:val="0"/>
        <w:i w:val="0"/>
      </w:rPr>
    </w:lvl>
    <w:lvl w:ilvl="2">
      <w:start w:val="1"/>
      <w:numFmt w:val="decimal"/>
      <w:isLgl w:val="false"/>
      <w:suff w:val="tab"/>
      <w:lvlText w:val="%1.%2.%3"/>
      <w:lvlJc w:val="left"/>
      <w:pPr>
        <w:ind w:left="3100" w:hanging="720"/>
      </w:pPr>
      <w:rPr>
        <w:rFonts w:hint="default"/>
        <w:b w:val="0"/>
        <w:i/>
      </w:rPr>
    </w:lvl>
    <w:lvl w:ilvl="3">
      <w:start w:val="1"/>
      <w:numFmt w:val="decimal"/>
      <w:isLgl w:val="false"/>
      <w:suff w:val="tab"/>
      <w:lvlText w:val="%1.%2.%3.%4"/>
      <w:lvlJc w:val="left"/>
      <w:pPr>
        <w:ind w:left="4290" w:hanging="720"/>
      </w:pPr>
      <w:rPr>
        <w:rFonts w:hint="default"/>
        <w:b w:val="0"/>
        <w:i/>
      </w:rPr>
    </w:lvl>
    <w:lvl w:ilvl="4">
      <w:start w:val="1"/>
      <w:numFmt w:val="decimal"/>
      <w:isLgl w:val="false"/>
      <w:suff w:val="tab"/>
      <w:lvlText w:val="%1.%2.%3.%4.%5"/>
      <w:lvlJc w:val="left"/>
      <w:pPr>
        <w:ind w:left="5840" w:hanging="1080"/>
      </w:pPr>
      <w:rPr>
        <w:rFonts w:hint="default"/>
        <w:b w:val="0"/>
        <w:i/>
      </w:rPr>
    </w:lvl>
    <w:lvl w:ilvl="5">
      <w:start w:val="1"/>
      <w:numFmt w:val="decimal"/>
      <w:isLgl w:val="false"/>
      <w:suff w:val="tab"/>
      <w:lvlText w:val="%1.%2.%3.%4.%5.%6"/>
      <w:lvlJc w:val="left"/>
      <w:pPr>
        <w:ind w:left="7030" w:hanging="1080"/>
      </w:pPr>
      <w:rPr>
        <w:rFonts w:hint="default"/>
        <w:b w:val="0"/>
        <w:i/>
      </w:rPr>
    </w:lvl>
    <w:lvl w:ilvl="6">
      <w:start w:val="1"/>
      <w:numFmt w:val="decimal"/>
      <w:isLgl w:val="false"/>
      <w:suff w:val="tab"/>
      <w:lvlText w:val="%1.%2.%3.%4.%5.%6.%7"/>
      <w:lvlJc w:val="left"/>
      <w:pPr>
        <w:ind w:left="8580" w:hanging="1440"/>
      </w:pPr>
      <w:rPr>
        <w:rFonts w:hint="default"/>
        <w:b w:val="0"/>
        <w:i/>
      </w:rPr>
    </w:lvl>
    <w:lvl w:ilvl="7">
      <w:start w:val="1"/>
      <w:numFmt w:val="decimal"/>
      <w:isLgl w:val="false"/>
      <w:suff w:val="tab"/>
      <w:lvlText w:val="%1.%2.%3.%4.%5.%6.%7.%8"/>
      <w:lvlJc w:val="left"/>
      <w:pPr>
        <w:ind w:left="9770" w:hanging="1440"/>
      </w:pPr>
      <w:rPr>
        <w:rFonts w:hint="default"/>
        <w:b w:val="0"/>
        <w:i/>
      </w:rPr>
    </w:lvl>
    <w:lvl w:ilvl="8">
      <w:start w:val="1"/>
      <w:numFmt w:val="decimal"/>
      <w:isLgl w:val="false"/>
      <w:suff w:val="tab"/>
      <w:lvlText w:val="%1.%2.%3.%4.%5.%6.%7.%8.%9"/>
      <w:lvlJc w:val="left"/>
      <w:pPr>
        <w:ind w:left="11320" w:hanging="1800"/>
      </w:pPr>
      <w:rPr>
        <w:rFonts w:hint="default"/>
        <w:b w:val="0"/>
        <w:i/>
      </w:rPr>
    </w:lvl>
  </w:abstractNum>
  <w:abstractNum w:abstractNumId="3">
    <w:multiLevelType w:val="hybridMultilevel"/>
    <w:lvl w:ilvl="0">
      <w:start w:val="1"/>
      <w:numFmt w:val="decimal"/>
      <w:isLgl w:val="false"/>
      <w:suff w:val="tab"/>
      <w:lvlText w:val="%1."/>
      <w:lvlJc w:val="left"/>
      <w:pPr>
        <w:ind w:left="1080" w:hanging="360"/>
        <w:tabs>
          <w:tab w:val="num" w:pos="1080" w:leader="none"/>
        </w:tabs>
      </w:pPr>
      <w:rPr>
        <w:rFonts w:cs="Times New Roman"/>
        <w:b w:val="0"/>
      </w:rPr>
    </w:lvl>
    <w:lvl w:ilvl="1">
      <w:start w:val="1"/>
      <w:numFmt w:val="lowerLetter"/>
      <w:isLgl w:val="false"/>
      <w:suff w:val="tab"/>
      <w:lvlText w:val="%2."/>
      <w:lvlJc w:val="left"/>
      <w:pPr>
        <w:ind w:left="1800" w:hanging="360"/>
        <w:tabs>
          <w:tab w:val="num" w:pos="1800" w:leader="none"/>
        </w:tabs>
      </w:pPr>
      <w:rPr>
        <w:rFonts w:cs="Times New Roman"/>
      </w:rPr>
    </w:lvl>
    <w:lvl w:ilvl="2">
      <w:start w:val="1"/>
      <w:numFmt w:val="lowerRoman"/>
      <w:isLgl w:val="false"/>
      <w:suff w:val="tab"/>
      <w:lvlText w:val="%3."/>
      <w:lvlJc w:val="right"/>
      <w:pPr>
        <w:ind w:left="2520" w:hanging="180"/>
        <w:tabs>
          <w:tab w:val="num" w:pos="2520" w:leader="none"/>
        </w:tabs>
      </w:pPr>
      <w:rPr>
        <w:rFonts w:cs="Times New Roman"/>
      </w:rPr>
    </w:lvl>
    <w:lvl w:ilvl="3">
      <w:start w:val="1"/>
      <w:numFmt w:val="decimal"/>
      <w:isLgl w:val="false"/>
      <w:suff w:val="tab"/>
      <w:lvlText w:val="%4."/>
      <w:lvlJc w:val="left"/>
      <w:pPr>
        <w:ind w:left="3240" w:hanging="360"/>
        <w:tabs>
          <w:tab w:val="num" w:pos="3240" w:leader="none"/>
        </w:tabs>
      </w:pPr>
      <w:rPr>
        <w:rFonts w:cs="Times New Roman"/>
      </w:rPr>
    </w:lvl>
    <w:lvl w:ilvl="4">
      <w:start w:val="1"/>
      <w:numFmt w:val="lowerLetter"/>
      <w:isLgl w:val="false"/>
      <w:suff w:val="tab"/>
      <w:lvlText w:val="%5."/>
      <w:lvlJc w:val="left"/>
      <w:pPr>
        <w:ind w:left="3960" w:hanging="360"/>
        <w:tabs>
          <w:tab w:val="num" w:pos="3960" w:leader="none"/>
        </w:tabs>
      </w:pPr>
      <w:rPr>
        <w:rFonts w:cs="Times New Roman"/>
      </w:rPr>
    </w:lvl>
    <w:lvl w:ilvl="5">
      <w:start w:val="1"/>
      <w:numFmt w:val="lowerRoman"/>
      <w:isLgl w:val="false"/>
      <w:suff w:val="tab"/>
      <w:lvlText w:val="%6."/>
      <w:lvlJc w:val="right"/>
      <w:pPr>
        <w:ind w:left="4680" w:hanging="180"/>
        <w:tabs>
          <w:tab w:val="num" w:pos="4680" w:leader="none"/>
        </w:tabs>
      </w:pPr>
      <w:rPr>
        <w:rFonts w:cs="Times New Roman"/>
      </w:rPr>
    </w:lvl>
    <w:lvl w:ilvl="6">
      <w:start w:val="1"/>
      <w:numFmt w:val="decimal"/>
      <w:isLgl w:val="false"/>
      <w:suff w:val="tab"/>
      <w:lvlText w:val="%7."/>
      <w:lvlJc w:val="left"/>
      <w:pPr>
        <w:ind w:left="5400" w:hanging="360"/>
        <w:tabs>
          <w:tab w:val="num" w:pos="5400" w:leader="none"/>
        </w:tabs>
      </w:pPr>
      <w:rPr>
        <w:rFonts w:cs="Times New Roman"/>
      </w:rPr>
    </w:lvl>
    <w:lvl w:ilvl="7">
      <w:start w:val="1"/>
      <w:numFmt w:val="lowerLetter"/>
      <w:isLgl w:val="false"/>
      <w:suff w:val="tab"/>
      <w:lvlText w:val="%8."/>
      <w:lvlJc w:val="left"/>
      <w:pPr>
        <w:ind w:left="6120" w:hanging="360"/>
        <w:tabs>
          <w:tab w:val="num" w:pos="6120" w:leader="none"/>
        </w:tabs>
      </w:pPr>
      <w:rPr>
        <w:rFonts w:cs="Times New Roman"/>
      </w:rPr>
    </w:lvl>
    <w:lvl w:ilvl="8">
      <w:start w:val="1"/>
      <w:numFmt w:val="lowerRoman"/>
      <w:isLgl w:val="false"/>
      <w:suff w:val="tab"/>
      <w:lvlText w:val="%9."/>
      <w:lvlJc w:val="right"/>
      <w:pPr>
        <w:ind w:left="6840" w:hanging="180"/>
        <w:tabs>
          <w:tab w:val="num" w:pos="6840" w:leader="none"/>
        </w:tabs>
      </w:pPr>
      <w:rPr>
        <w:rFonts w:cs="Times New Roman"/>
      </w:rPr>
    </w:lvl>
  </w:abstractNum>
  <w:abstractNum w:abstractNumId="4">
    <w:multiLevelType w:val="hybridMultilevel"/>
    <w:lvl w:ilvl="0">
      <w:start w:val="1"/>
      <w:numFmt w:val="russianLower"/>
      <w:isLgl w:val="false"/>
      <w:suff w:val="tab"/>
      <w:lvlText w:val="%1)"/>
      <w:lvlJc w:val="left"/>
      <w:pPr>
        <w:ind w:left="360" w:hanging="360"/>
        <w:tabs>
          <w:tab w:val="num" w:pos="360" w:leader="none"/>
        </w:tabs>
      </w:pPr>
      <w:rPr>
        <w:rFonts w:hint="default" w:cs="Times New Roman"/>
        <w:sz w:val="28"/>
        <w:szCs w:val="28"/>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5">
    <w:multiLevelType w:val="hybridMultilevel"/>
    <w:lvl w:ilvl="0">
      <w:start w:val="5"/>
      <w:numFmt w:val="decimal"/>
      <w:isLgl w:val="false"/>
      <w:suff w:val="tab"/>
      <w:lvlText w:val="%1."/>
      <w:lvlJc w:val="left"/>
      <w:pPr>
        <w:ind w:left="1429" w:hanging="360"/>
        <w:tabs>
          <w:tab w:val="num" w:pos="720" w:leader="none"/>
        </w:tabs>
      </w:pPr>
      <w:rPr>
        <w:b/>
      </w:rPr>
    </w:lvl>
    <w:lvl w:ilvl="1">
      <w:start w:val="1"/>
      <w:numFmt w:val="decimal"/>
      <w:isLgl w:val="false"/>
      <w:suff w:val="tab"/>
      <w:lvlText w:val="%1.%2."/>
      <w:lvlJc w:val="left"/>
      <w:pPr>
        <w:ind w:left="1779" w:hanging="360"/>
        <w:tabs>
          <w:tab w:val="num" w:pos="1070" w:leader="none"/>
        </w:tabs>
      </w:pPr>
      <w:rPr>
        <w:i w:val="0"/>
        <w:sz w:val="24"/>
        <w:szCs w:val="24"/>
      </w:rPr>
    </w:lvl>
    <w:lvl w:ilvl="2">
      <w:start w:val="2"/>
      <w:numFmt w:val="decimal"/>
      <w:isLgl w:val="false"/>
      <w:suff w:val="tab"/>
      <w:lvlText w:val="%1.%2.%3."/>
      <w:lvlJc w:val="left"/>
      <w:pPr>
        <w:ind w:left="2149" w:hanging="360"/>
        <w:tabs>
          <w:tab w:val="num" w:pos="1440" w:leader="none"/>
        </w:tabs>
      </w:pPr>
      <w:rPr>
        <w:rFonts w:hint="default" w:ascii="Times New Roman" w:hAnsi="Times New Roman" w:cs="Times New Roman"/>
      </w:rPr>
    </w:lvl>
    <w:lvl w:ilvl="3">
      <w:start w:val="1"/>
      <w:numFmt w:val="decimal"/>
      <w:isLgl w:val="false"/>
      <w:suff w:val="tab"/>
      <w:lvlText w:val="%1.%2.%3.%4."/>
      <w:lvlJc w:val="left"/>
      <w:pPr>
        <w:ind w:left="2509" w:hanging="360"/>
        <w:tabs>
          <w:tab w:val="num" w:pos="1800" w:leader="none"/>
        </w:tabs>
      </w:pPr>
    </w:lvl>
    <w:lvl w:ilvl="4">
      <w:start w:val="1"/>
      <w:numFmt w:val="decimal"/>
      <w:isLgl w:val="false"/>
      <w:suff w:val="tab"/>
      <w:lvlText w:val="%1.%2.%3.%4.%5."/>
      <w:lvlJc w:val="left"/>
      <w:pPr>
        <w:ind w:left="2869" w:hanging="360"/>
        <w:tabs>
          <w:tab w:val="num" w:pos="2160" w:leader="none"/>
        </w:tabs>
      </w:pPr>
    </w:lvl>
    <w:lvl w:ilvl="5">
      <w:start w:val="1"/>
      <w:numFmt w:val="decimal"/>
      <w:isLgl w:val="false"/>
      <w:suff w:val="tab"/>
      <w:lvlText w:val="%1.%2.%3.%4.%5.%6."/>
      <w:lvlJc w:val="left"/>
      <w:pPr>
        <w:ind w:left="3229" w:hanging="360"/>
        <w:tabs>
          <w:tab w:val="num" w:pos="2520" w:leader="none"/>
        </w:tabs>
      </w:pPr>
    </w:lvl>
    <w:lvl w:ilvl="6">
      <w:start w:val="1"/>
      <w:numFmt w:val="decimal"/>
      <w:isLgl w:val="false"/>
      <w:suff w:val="tab"/>
      <w:lvlText w:val="%1.%2.%3.%4.%5.%6.%7."/>
      <w:lvlJc w:val="left"/>
      <w:pPr>
        <w:ind w:left="3589" w:hanging="360"/>
        <w:tabs>
          <w:tab w:val="num" w:pos="2880" w:leader="none"/>
        </w:tabs>
      </w:pPr>
    </w:lvl>
    <w:lvl w:ilvl="7">
      <w:start w:val="1"/>
      <w:numFmt w:val="decimal"/>
      <w:isLgl w:val="false"/>
      <w:suff w:val="tab"/>
      <w:lvlText w:val="%1.%2.%3.%4.%5.%6.%7.%8."/>
      <w:lvlJc w:val="left"/>
      <w:pPr>
        <w:ind w:left="3949" w:hanging="360"/>
        <w:tabs>
          <w:tab w:val="num" w:pos="3240" w:leader="none"/>
        </w:tabs>
      </w:pPr>
    </w:lvl>
    <w:lvl w:ilvl="8">
      <w:start w:val="1"/>
      <w:numFmt w:val="decimal"/>
      <w:isLgl w:val="false"/>
      <w:suff w:val="tab"/>
      <w:lvlText w:val="%1.%2.%3.%4.%5.%6.%7.%8.%9."/>
      <w:lvlJc w:val="left"/>
      <w:pPr>
        <w:ind w:left="4309" w:hanging="360"/>
        <w:tabs>
          <w:tab w:val="num" w:pos="3600" w:leader="none"/>
        </w:tabs>
      </w:pPr>
    </w:lvl>
  </w:abstractNum>
  <w:abstractNum w:abstractNumId="6">
    <w:multiLevelType w:val="hybridMultilevel"/>
    <w:lvl w:ilvl="0">
      <w:start w:val="8"/>
      <w:numFmt w:val="decimal"/>
      <w:isLgl w:val="false"/>
      <w:suff w:val="tab"/>
      <w:lvlText w:val="%1."/>
      <w:lvlJc w:val="left"/>
      <w:pPr>
        <w:ind w:left="480" w:hanging="480"/>
      </w:pPr>
      <w:rPr>
        <w:rFonts w:hint="default"/>
      </w:rPr>
    </w:lvl>
    <w:lvl w:ilvl="1">
      <w:start w:val="17"/>
      <w:numFmt w:val="decimal"/>
      <w:isLgl w:val="false"/>
      <w:suff w:val="tab"/>
      <w:lvlText w:val="%1.%2."/>
      <w:lvlJc w:val="left"/>
      <w:pPr>
        <w:ind w:left="480" w:hanging="48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7">
    <w:multiLevelType w:val="hybridMultilevel"/>
    <w:lvl w:ilvl="0">
      <w:start w:val="7"/>
      <w:numFmt w:val="decimal"/>
      <w:isLgl w:val="false"/>
      <w:suff w:val="tab"/>
      <w:lvlText w:val="%1."/>
      <w:lvlJc w:val="left"/>
      <w:pPr>
        <w:ind w:left="720" w:hanging="360"/>
        <w:tabs>
          <w:tab w:val="num" w:pos="720" w:leader="none"/>
        </w:tabs>
      </w:pPr>
      <w:rPr>
        <w:rFonts w:hint="default"/>
        <w:b/>
      </w:rPr>
    </w:lvl>
    <w:lvl w:ilvl="1">
      <w:start w:val="1"/>
      <w:numFmt w:val="decimal"/>
      <w:isLgl w:val="false"/>
      <w:suff w:val="tab"/>
      <w:lvlText w:val="%1.%2."/>
      <w:lvlJc w:val="left"/>
      <w:pPr>
        <w:ind w:left="1070" w:hanging="360"/>
        <w:tabs>
          <w:tab w:val="num" w:pos="1070" w:leader="none"/>
        </w:tabs>
      </w:pPr>
      <w:rPr>
        <w:rFonts w:hint="default"/>
        <w:b w:val="0"/>
      </w:rPr>
    </w:lvl>
    <w:lvl w:ilvl="2">
      <w:start w:val="1"/>
      <w:numFmt w:val="decimal"/>
      <w:isLgl w:val="false"/>
      <w:suff w:val="tab"/>
      <w:lvlText w:val="%1.%2.%3."/>
      <w:lvlJc w:val="left"/>
      <w:pPr>
        <w:ind w:left="1440" w:hanging="360"/>
        <w:tabs>
          <w:tab w:val="num" w:pos="1440" w:leader="none"/>
        </w:tabs>
      </w:pPr>
      <w:rPr>
        <w:rFonts w:hint="default" w:ascii="Times New Roman" w:hAnsi="Times New Roman" w:cs="Times New Roman"/>
      </w:rPr>
    </w:lvl>
    <w:lvl w:ilvl="3">
      <w:start w:val="1"/>
      <w:numFmt w:val="decimal"/>
      <w:isLgl w:val="false"/>
      <w:suff w:val="tab"/>
      <w:lvlText w:val="%1.%2.%3.%4."/>
      <w:lvlJc w:val="left"/>
      <w:pPr>
        <w:ind w:left="1800" w:hanging="360"/>
        <w:tabs>
          <w:tab w:val="num" w:pos="1800" w:leader="none"/>
        </w:tabs>
      </w:pPr>
      <w:rPr>
        <w:rFonts w:hint="default"/>
      </w:rPr>
    </w:lvl>
    <w:lvl w:ilvl="4">
      <w:start w:val="1"/>
      <w:numFmt w:val="decimal"/>
      <w:isLgl w:val="false"/>
      <w:suff w:val="tab"/>
      <w:lvlText w:val="%1.%2.%3.%4.%5."/>
      <w:lvlJc w:val="left"/>
      <w:pPr>
        <w:ind w:left="2160" w:hanging="360"/>
        <w:tabs>
          <w:tab w:val="num" w:pos="2160" w:leader="none"/>
        </w:tabs>
      </w:pPr>
      <w:rPr>
        <w:rFonts w:hint="default"/>
      </w:rPr>
    </w:lvl>
    <w:lvl w:ilvl="5">
      <w:start w:val="1"/>
      <w:numFmt w:val="decimal"/>
      <w:isLgl w:val="false"/>
      <w:suff w:val="tab"/>
      <w:lvlText w:val="%1.%2.%3.%4.%5.%6."/>
      <w:lvlJc w:val="left"/>
      <w:pPr>
        <w:ind w:left="2520" w:hanging="360"/>
        <w:tabs>
          <w:tab w:val="num" w:pos="2520" w:leader="none"/>
        </w:tabs>
      </w:pPr>
      <w:rPr>
        <w:rFonts w:hint="default"/>
      </w:rPr>
    </w:lvl>
    <w:lvl w:ilvl="6">
      <w:start w:val="1"/>
      <w:numFmt w:val="decimal"/>
      <w:isLgl w:val="false"/>
      <w:suff w:val="tab"/>
      <w:lvlText w:val="%1.%2.%3.%4.%5.%6.%7."/>
      <w:lvlJc w:val="left"/>
      <w:pPr>
        <w:ind w:left="2880" w:hanging="360"/>
        <w:tabs>
          <w:tab w:val="num" w:pos="2880" w:leader="none"/>
        </w:tabs>
      </w:pPr>
      <w:rPr>
        <w:rFonts w:hint="default"/>
      </w:rPr>
    </w:lvl>
    <w:lvl w:ilvl="7">
      <w:start w:val="1"/>
      <w:numFmt w:val="decimal"/>
      <w:isLgl w:val="false"/>
      <w:suff w:val="tab"/>
      <w:lvlText w:val="%1.%2.%3.%4.%5.%6.%7.%8."/>
      <w:lvlJc w:val="left"/>
      <w:pPr>
        <w:ind w:left="3240" w:hanging="360"/>
        <w:tabs>
          <w:tab w:val="num" w:pos="3240" w:leader="none"/>
        </w:tabs>
      </w:pPr>
      <w:rPr>
        <w:rFonts w:hint="default"/>
      </w:rPr>
    </w:lvl>
    <w:lvl w:ilvl="8">
      <w:start w:val="1"/>
      <w:numFmt w:val="decimal"/>
      <w:isLgl w:val="false"/>
      <w:suff w:val="tab"/>
      <w:lvlText w:val="%1.%2.%3.%4.%5.%6.%7.%8.%9."/>
      <w:lvlJc w:val="left"/>
      <w:pPr>
        <w:ind w:left="3600" w:hanging="360"/>
        <w:tabs>
          <w:tab w:val="num" w:pos="3600" w:leader="none"/>
        </w:tabs>
      </w:pPr>
      <w:rPr>
        <w:rFonts w:hint="default"/>
      </w:rPr>
    </w:lvl>
  </w:abstractNum>
  <w:abstractNum w:abstractNumId="8">
    <w:multiLevelType w:val="hybridMultilevel"/>
    <w:lvl w:ilvl="0">
      <w:start w:val="1"/>
      <w:numFmt w:val="decimal"/>
      <w:isLgl w:val="false"/>
      <w:suff w:val="tab"/>
      <w:lvlText w:val="%1."/>
      <w:lvlJc w:val="left"/>
      <w:pPr>
        <w:ind w:left="1069"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9">
    <w:multiLevelType w:val="hybridMultilevel"/>
    <w:lvl w:ilvl="0">
      <w:start w:val="1"/>
      <w:numFmt w:val="bullet"/>
      <w:isLgl w:val="false"/>
      <w:suff w:val="tab"/>
      <w:lvlText w:val=""/>
      <w:lvlJc w:val="left"/>
      <w:pPr>
        <w:ind w:left="1429" w:hanging="360"/>
        <w:tabs>
          <w:tab w:val="num" w:pos="1429" w:leader="none"/>
        </w:tabs>
      </w:pPr>
      <w:rPr>
        <w:rFonts w:hint="default" w:ascii="Symbol" w:hAnsi="Symbol"/>
      </w:rPr>
    </w:lvl>
    <w:lvl w:ilvl="1">
      <w:start w:val="1"/>
      <w:numFmt w:val="bullet"/>
      <w:isLgl w:val="false"/>
      <w:suff w:val="tab"/>
      <w:lvlText w:val="o"/>
      <w:lvlJc w:val="left"/>
      <w:pPr>
        <w:ind w:left="2149" w:hanging="360"/>
        <w:tabs>
          <w:tab w:val="num" w:pos="2149" w:leader="none"/>
        </w:tabs>
      </w:pPr>
      <w:rPr>
        <w:rFonts w:hint="default" w:ascii="Courier New" w:hAnsi="Courier New"/>
      </w:rPr>
    </w:lvl>
    <w:lvl w:ilvl="2">
      <w:start w:val="1"/>
      <w:numFmt w:val="bullet"/>
      <w:isLgl w:val="false"/>
      <w:suff w:val="tab"/>
      <w:lvlText w:val=""/>
      <w:lvlJc w:val="left"/>
      <w:pPr>
        <w:ind w:left="2869" w:hanging="360"/>
        <w:tabs>
          <w:tab w:val="num" w:pos="2869" w:leader="none"/>
        </w:tabs>
      </w:pPr>
      <w:rPr>
        <w:rFonts w:hint="default" w:ascii="Wingdings" w:hAnsi="Wingdings"/>
      </w:rPr>
    </w:lvl>
    <w:lvl w:ilvl="3">
      <w:start w:val="1"/>
      <w:numFmt w:val="bullet"/>
      <w:isLgl w:val="false"/>
      <w:suff w:val="tab"/>
      <w:lvlText w:val=""/>
      <w:lvlJc w:val="left"/>
      <w:pPr>
        <w:ind w:left="3589" w:hanging="360"/>
        <w:tabs>
          <w:tab w:val="num" w:pos="3589" w:leader="none"/>
        </w:tabs>
      </w:pPr>
      <w:rPr>
        <w:rFonts w:hint="default" w:ascii="Symbol" w:hAnsi="Symbol"/>
      </w:rPr>
    </w:lvl>
    <w:lvl w:ilvl="4">
      <w:start w:val="1"/>
      <w:numFmt w:val="bullet"/>
      <w:isLgl w:val="false"/>
      <w:suff w:val="tab"/>
      <w:lvlText w:val="o"/>
      <w:lvlJc w:val="left"/>
      <w:pPr>
        <w:ind w:left="4309" w:hanging="360"/>
        <w:tabs>
          <w:tab w:val="num" w:pos="4309" w:leader="none"/>
        </w:tabs>
      </w:pPr>
      <w:rPr>
        <w:rFonts w:hint="default" w:ascii="Courier New" w:hAnsi="Courier New"/>
      </w:rPr>
    </w:lvl>
    <w:lvl w:ilvl="5">
      <w:start w:val="1"/>
      <w:numFmt w:val="bullet"/>
      <w:isLgl w:val="false"/>
      <w:suff w:val="tab"/>
      <w:lvlText w:val=""/>
      <w:lvlJc w:val="left"/>
      <w:pPr>
        <w:ind w:left="5029" w:hanging="360"/>
        <w:tabs>
          <w:tab w:val="num" w:pos="5029" w:leader="none"/>
        </w:tabs>
      </w:pPr>
      <w:rPr>
        <w:rFonts w:hint="default" w:ascii="Wingdings" w:hAnsi="Wingdings"/>
      </w:rPr>
    </w:lvl>
    <w:lvl w:ilvl="6">
      <w:start w:val="1"/>
      <w:numFmt w:val="bullet"/>
      <w:isLgl w:val="false"/>
      <w:suff w:val="tab"/>
      <w:lvlText w:val=""/>
      <w:lvlJc w:val="left"/>
      <w:pPr>
        <w:ind w:left="5749" w:hanging="360"/>
        <w:tabs>
          <w:tab w:val="num" w:pos="5749" w:leader="none"/>
        </w:tabs>
      </w:pPr>
      <w:rPr>
        <w:rFonts w:hint="default" w:ascii="Symbol" w:hAnsi="Symbol"/>
      </w:rPr>
    </w:lvl>
    <w:lvl w:ilvl="7">
      <w:start w:val="1"/>
      <w:numFmt w:val="bullet"/>
      <w:isLgl w:val="false"/>
      <w:suff w:val="tab"/>
      <w:lvlText w:val="o"/>
      <w:lvlJc w:val="left"/>
      <w:pPr>
        <w:ind w:left="6469" w:hanging="360"/>
        <w:tabs>
          <w:tab w:val="num" w:pos="6469" w:leader="none"/>
        </w:tabs>
      </w:pPr>
      <w:rPr>
        <w:rFonts w:hint="default" w:ascii="Courier New" w:hAnsi="Courier New"/>
      </w:rPr>
    </w:lvl>
    <w:lvl w:ilvl="8">
      <w:start w:val="1"/>
      <w:numFmt w:val="bullet"/>
      <w:isLgl w:val="false"/>
      <w:suff w:val="tab"/>
      <w:lvlText w:val=""/>
      <w:lvlJc w:val="left"/>
      <w:pPr>
        <w:ind w:left="7189" w:hanging="360"/>
        <w:tabs>
          <w:tab w:val="num" w:pos="7189" w:leader="none"/>
        </w:tabs>
      </w:pPr>
      <w:rPr>
        <w:rFonts w:hint="default" w:ascii="Wingdings" w:hAnsi="Wingdings"/>
      </w:rPr>
    </w:lvl>
  </w:abstractNum>
  <w:abstractNum w:abstractNumId="10">
    <w:multiLevelType w:val="hybridMultilevel"/>
    <w:lvl w:ilvl="0">
      <w:start w:val="1"/>
      <w:numFmt w:val="bullet"/>
      <w:isLgl w:val="false"/>
      <w:suff w:val="tab"/>
      <w:lvlText w:val=""/>
      <w:lvlJc w:val="left"/>
      <w:pPr>
        <w:ind w:left="1429" w:hanging="360"/>
        <w:tabs>
          <w:tab w:val="num" w:pos="1429" w:leader="none"/>
        </w:tabs>
      </w:pPr>
      <w:rPr>
        <w:rFonts w:hint="default" w:ascii="Symbol" w:hAnsi="Symbol"/>
      </w:rPr>
    </w:lvl>
    <w:lvl w:ilvl="1">
      <w:start w:val="1"/>
      <w:numFmt w:val="bullet"/>
      <w:isLgl w:val="false"/>
      <w:suff w:val="tab"/>
      <w:lvlText w:val="o"/>
      <w:lvlJc w:val="left"/>
      <w:pPr>
        <w:ind w:left="2149" w:hanging="360"/>
        <w:tabs>
          <w:tab w:val="num" w:pos="2149" w:leader="none"/>
        </w:tabs>
      </w:pPr>
      <w:rPr>
        <w:rFonts w:hint="default" w:ascii="Courier New" w:hAnsi="Courier New"/>
      </w:rPr>
    </w:lvl>
    <w:lvl w:ilvl="2">
      <w:start w:val="1"/>
      <w:numFmt w:val="bullet"/>
      <w:isLgl w:val="false"/>
      <w:suff w:val="tab"/>
      <w:lvlText w:val=""/>
      <w:lvlJc w:val="left"/>
      <w:pPr>
        <w:ind w:left="2869" w:hanging="360"/>
        <w:tabs>
          <w:tab w:val="num" w:pos="2869" w:leader="none"/>
        </w:tabs>
      </w:pPr>
      <w:rPr>
        <w:rFonts w:hint="default" w:ascii="Wingdings" w:hAnsi="Wingdings"/>
      </w:rPr>
    </w:lvl>
    <w:lvl w:ilvl="3">
      <w:start w:val="1"/>
      <w:numFmt w:val="bullet"/>
      <w:isLgl w:val="false"/>
      <w:suff w:val="tab"/>
      <w:lvlText w:val=""/>
      <w:lvlJc w:val="left"/>
      <w:pPr>
        <w:ind w:left="3589" w:hanging="360"/>
        <w:tabs>
          <w:tab w:val="num" w:pos="3589" w:leader="none"/>
        </w:tabs>
      </w:pPr>
      <w:rPr>
        <w:rFonts w:hint="default" w:ascii="Symbol" w:hAnsi="Symbol"/>
      </w:rPr>
    </w:lvl>
    <w:lvl w:ilvl="4">
      <w:start w:val="1"/>
      <w:numFmt w:val="bullet"/>
      <w:isLgl w:val="false"/>
      <w:suff w:val="tab"/>
      <w:lvlText w:val="o"/>
      <w:lvlJc w:val="left"/>
      <w:pPr>
        <w:ind w:left="4309" w:hanging="360"/>
        <w:tabs>
          <w:tab w:val="num" w:pos="4309" w:leader="none"/>
        </w:tabs>
      </w:pPr>
      <w:rPr>
        <w:rFonts w:hint="default" w:ascii="Courier New" w:hAnsi="Courier New"/>
      </w:rPr>
    </w:lvl>
    <w:lvl w:ilvl="5">
      <w:start w:val="1"/>
      <w:numFmt w:val="bullet"/>
      <w:isLgl w:val="false"/>
      <w:suff w:val="tab"/>
      <w:lvlText w:val=""/>
      <w:lvlJc w:val="left"/>
      <w:pPr>
        <w:ind w:left="5029" w:hanging="360"/>
        <w:tabs>
          <w:tab w:val="num" w:pos="5029" w:leader="none"/>
        </w:tabs>
      </w:pPr>
      <w:rPr>
        <w:rFonts w:hint="default" w:ascii="Wingdings" w:hAnsi="Wingdings"/>
      </w:rPr>
    </w:lvl>
    <w:lvl w:ilvl="6">
      <w:start w:val="1"/>
      <w:numFmt w:val="bullet"/>
      <w:isLgl w:val="false"/>
      <w:suff w:val="tab"/>
      <w:lvlText w:val=""/>
      <w:lvlJc w:val="left"/>
      <w:pPr>
        <w:ind w:left="5749" w:hanging="360"/>
        <w:tabs>
          <w:tab w:val="num" w:pos="5749" w:leader="none"/>
        </w:tabs>
      </w:pPr>
      <w:rPr>
        <w:rFonts w:hint="default" w:ascii="Symbol" w:hAnsi="Symbol"/>
      </w:rPr>
    </w:lvl>
    <w:lvl w:ilvl="7">
      <w:start w:val="1"/>
      <w:numFmt w:val="bullet"/>
      <w:isLgl w:val="false"/>
      <w:suff w:val="tab"/>
      <w:lvlText w:val="o"/>
      <w:lvlJc w:val="left"/>
      <w:pPr>
        <w:ind w:left="6469" w:hanging="360"/>
        <w:tabs>
          <w:tab w:val="num" w:pos="6469" w:leader="none"/>
        </w:tabs>
      </w:pPr>
      <w:rPr>
        <w:rFonts w:hint="default" w:ascii="Courier New" w:hAnsi="Courier New"/>
      </w:rPr>
    </w:lvl>
    <w:lvl w:ilvl="8">
      <w:start w:val="1"/>
      <w:numFmt w:val="bullet"/>
      <w:isLgl w:val="false"/>
      <w:suff w:val="tab"/>
      <w:lvlText w:val=""/>
      <w:lvlJc w:val="left"/>
      <w:pPr>
        <w:ind w:left="7189" w:hanging="360"/>
        <w:tabs>
          <w:tab w:val="num" w:pos="7189" w:leader="none"/>
        </w:tabs>
      </w:pPr>
      <w:rPr>
        <w:rFonts w:hint="default" w:ascii="Wingdings" w:hAnsi="Wingdings"/>
      </w:rPr>
    </w:lvl>
  </w:abstractNum>
  <w:abstractNum w:abstractNumId="1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2">
    <w:multiLevelType w:val="hybridMultilevel"/>
    <w:lvl w:ilvl="0">
      <w:start w:val="5"/>
      <w:numFmt w:val="decimal"/>
      <w:isLgl w:val="false"/>
      <w:suff w:val="tab"/>
      <w:lvlText w:val="%1."/>
      <w:lvlJc w:val="left"/>
      <w:pPr>
        <w:ind w:left="480" w:hanging="480"/>
      </w:pPr>
      <w:rPr>
        <w:rFonts w:hint="default"/>
      </w:rPr>
    </w:lvl>
    <w:lvl w:ilvl="1">
      <w:start w:val="36"/>
      <w:numFmt w:val="decimal"/>
      <w:isLgl w:val="false"/>
      <w:suff w:val="tab"/>
      <w:lvlText w:val="%1.%2."/>
      <w:lvlJc w:val="left"/>
      <w:pPr>
        <w:ind w:left="1190" w:hanging="480"/>
      </w:pPr>
      <w:rPr>
        <w:rFonts w:hint="default"/>
        <w:i w:val="0"/>
      </w:rPr>
    </w:lvl>
    <w:lvl w:ilvl="2">
      <w:start w:val="1"/>
      <w:numFmt w:val="decimal"/>
      <w:isLgl w:val="false"/>
      <w:suff w:val="tab"/>
      <w:lvlText w:val="%1.%2.%3."/>
      <w:lvlJc w:val="left"/>
      <w:pPr>
        <w:ind w:left="2140" w:hanging="720"/>
      </w:pPr>
      <w:rPr>
        <w:rFonts w:hint="default"/>
      </w:rPr>
    </w:lvl>
    <w:lvl w:ilvl="3">
      <w:start w:val="1"/>
      <w:numFmt w:val="decimal"/>
      <w:isLgl w:val="false"/>
      <w:suff w:val="tab"/>
      <w:lvlText w:val="%1.%2.%3.%4."/>
      <w:lvlJc w:val="left"/>
      <w:pPr>
        <w:ind w:left="2850" w:hanging="720"/>
      </w:pPr>
      <w:rPr>
        <w:rFonts w:hint="default"/>
      </w:rPr>
    </w:lvl>
    <w:lvl w:ilvl="4">
      <w:start w:val="1"/>
      <w:numFmt w:val="decimal"/>
      <w:isLgl w:val="false"/>
      <w:suff w:val="tab"/>
      <w:lvlText w:val="%1.%2.%3.%4.%5."/>
      <w:lvlJc w:val="left"/>
      <w:pPr>
        <w:ind w:left="3920" w:hanging="1080"/>
      </w:pPr>
      <w:rPr>
        <w:rFonts w:hint="default"/>
      </w:rPr>
    </w:lvl>
    <w:lvl w:ilvl="5">
      <w:start w:val="1"/>
      <w:numFmt w:val="decimal"/>
      <w:isLgl w:val="false"/>
      <w:suff w:val="tab"/>
      <w:lvlText w:val="%1.%2.%3.%4.%5.%6."/>
      <w:lvlJc w:val="left"/>
      <w:pPr>
        <w:ind w:left="4630" w:hanging="1080"/>
      </w:pPr>
      <w:rPr>
        <w:rFonts w:hint="default"/>
      </w:rPr>
    </w:lvl>
    <w:lvl w:ilvl="6">
      <w:start w:val="1"/>
      <w:numFmt w:val="decimal"/>
      <w:isLgl w:val="false"/>
      <w:suff w:val="tab"/>
      <w:lvlText w:val="%1.%2.%3.%4.%5.%6.%7."/>
      <w:lvlJc w:val="left"/>
      <w:pPr>
        <w:ind w:left="5700" w:hanging="1440"/>
      </w:pPr>
      <w:rPr>
        <w:rFonts w:hint="default"/>
      </w:rPr>
    </w:lvl>
    <w:lvl w:ilvl="7">
      <w:start w:val="1"/>
      <w:numFmt w:val="decimal"/>
      <w:isLgl w:val="false"/>
      <w:suff w:val="tab"/>
      <w:lvlText w:val="%1.%2.%3.%4.%5.%6.%7.%8."/>
      <w:lvlJc w:val="left"/>
      <w:pPr>
        <w:ind w:left="6410" w:hanging="1440"/>
      </w:pPr>
      <w:rPr>
        <w:rFonts w:hint="default"/>
      </w:rPr>
    </w:lvl>
    <w:lvl w:ilvl="8">
      <w:start w:val="1"/>
      <w:numFmt w:val="decimal"/>
      <w:isLgl w:val="false"/>
      <w:suff w:val="tab"/>
      <w:lvlText w:val="%1.%2.%3.%4.%5.%6.%7.%8.%9."/>
      <w:lvlJc w:val="left"/>
      <w:pPr>
        <w:ind w:left="7480" w:hanging="1800"/>
      </w:pPr>
      <w:rPr>
        <w:rFonts w:hint="default"/>
      </w:rPr>
    </w:lvl>
  </w:abstractNum>
  <w:abstractNum w:abstractNumId="13">
    <w:multiLevelType w:val="hybridMultilevel"/>
    <w:lvl w:ilvl="0">
      <w:start w:val="3"/>
      <w:numFmt w:val="decimal"/>
      <w:isLgl w:val="false"/>
      <w:suff w:val="tab"/>
      <w:lvlText w:val="%1."/>
      <w:lvlJc w:val="left"/>
      <w:pPr>
        <w:ind w:left="360" w:hanging="360"/>
      </w:pPr>
      <w:rPr>
        <w:rFonts w:hint="default"/>
      </w:rPr>
    </w:lvl>
    <w:lvl w:ilvl="1">
      <w:start w:val="3"/>
      <w:numFmt w:val="decimal"/>
      <w:isLgl w:val="false"/>
      <w:suff w:val="tab"/>
      <w:lvlText w:val="%1.%2."/>
      <w:lvlJc w:val="left"/>
      <w:pPr>
        <w:ind w:left="360" w:hanging="36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14">
    <w:multiLevelType w:val="hybridMultilevel"/>
    <w:lvl w:ilvl="0">
      <w:start w:val="3"/>
      <w:numFmt w:val="decimal"/>
      <w:isLgl w:val="false"/>
      <w:suff w:val="tab"/>
      <w:lvlText w:val="%1."/>
      <w:lvlJc w:val="left"/>
      <w:pPr>
        <w:ind w:left="360" w:hanging="360"/>
      </w:pPr>
      <w:rPr>
        <w:rFonts w:hint="default"/>
        <w:b/>
      </w:rPr>
    </w:lvl>
    <w:lvl w:ilvl="1">
      <w:start w:val="1"/>
      <w:numFmt w:val="decimal"/>
      <w:isLgl w:val="false"/>
      <w:suff w:val="tab"/>
      <w:lvlText w:val="%1.%2."/>
      <w:lvlJc w:val="left"/>
      <w:pPr>
        <w:ind w:left="1440" w:hanging="360"/>
      </w:pPr>
      <w:rPr>
        <w:rFonts w:hint="default" w:ascii="Times New Roman" w:hAnsi="Times New Roman" w:cs="Times New Roman"/>
        <w:i w:val="0"/>
        <w:sz w:val="24"/>
        <w:szCs w:val="24"/>
      </w:rPr>
    </w:lvl>
    <w:lvl w:ilvl="2">
      <w:start w:val="1"/>
      <w:numFmt w:val="decimal"/>
      <w:isLgl w:val="false"/>
      <w:suff w:val="tab"/>
      <w:lvlText w:val="%1.%2.%3."/>
      <w:lvlJc w:val="left"/>
      <w:pPr>
        <w:ind w:left="2880" w:hanging="720"/>
      </w:pPr>
      <w:rPr>
        <w:rFonts w:hint="default"/>
      </w:rPr>
    </w:lvl>
    <w:lvl w:ilvl="3">
      <w:start w:val="1"/>
      <w:numFmt w:val="decimal"/>
      <w:isLgl w:val="false"/>
      <w:suff w:val="tab"/>
      <w:lvlText w:val="%1.%2.%3.%4."/>
      <w:lvlJc w:val="left"/>
      <w:pPr>
        <w:ind w:left="3960" w:hanging="720"/>
      </w:pPr>
      <w:rPr>
        <w:rFonts w:hint="default"/>
      </w:rPr>
    </w:lvl>
    <w:lvl w:ilvl="4">
      <w:start w:val="1"/>
      <w:numFmt w:val="decimal"/>
      <w:isLgl w:val="false"/>
      <w:suff w:val="tab"/>
      <w:lvlText w:val="%1.%2.%3.%4.%5."/>
      <w:lvlJc w:val="left"/>
      <w:pPr>
        <w:ind w:left="5400" w:hanging="1080"/>
      </w:pPr>
      <w:rPr>
        <w:rFonts w:hint="default"/>
      </w:rPr>
    </w:lvl>
    <w:lvl w:ilvl="5">
      <w:start w:val="1"/>
      <w:numFmt w:val="decimal"/>
      <w:isLgl w:val="false"/>
      <w:suff w:val="tab"/>
      <w:lvlText w:val="%1.%2.%3.%4.%5.%6."/>
      <w:lvlJc w:val="left"/>
      <w:pPr>
        <w:ind w:left="6480" w:hanging="1080"/>
      </w:pPr>
      <w:rPr>
        <w:rFonts w:hint="default"/>
      </w:rPr>
    </w:lvl>
    <w:lvl w:ilvl="6">
      <w:start w:val="1"/>
      <w:numFmt w:val="decimal"/>
      <w:isLgl w:val="false"/>
      <w:suff w:val="tab"/>
      <w:lvlText w:val="%1.%2.%3.%4.%5.%6.%7."/>
      <w:lvlJc w:val="left"/>
      <w:pPr>
        <w:ind w:left="7920" w:hanging="1440"/>
      </w:pPr>
      <w:rPr>
        <w:rFonts w:hint="default"/>
      </w:rPr>
    </w:lvl>
    <w:lvl w:ilvl="7">
      <w:start w:val="1"/>
      <w:numFmt w:val="decimal"/>
      <w:isLgl w:val="false"/>
      <w:suff w:val="tab"/>
      <w:lvlText w:val="%1.%2.%3.%4.%5.%6.%7.%8."/>
      <w:lvlJc w:val="left"/>
      <w:pPr>
        <w:ind w:left="9000" w:hanging="1440"/>
      </w:pPr>
      <w:rPr>
        <w:rFonts w:hint="default"/>
      </w:rPr>
    </w:lvl>
    <w:lvl w:ilvl="8">
      <w:start w:val="1"/>
      <w:numFmt w:val="decimal"/>
      <w:isLgl w:val="false"/>
      <w:suff w:val="tab"/>
      <w:lvlText w:val="%1.%2.%3.%4.%5.%6.%7.%8.%9."/>
      <w:lvlJc w:val="left"/>
      <w:pPr>
        <w:ind w:left="10440" w:hanging="1800"/>
      </w:pPr>
      <w:rPr>
        <w:rFonts w:hint="default"/>
      </w:rPr>
    </w:lvl>
  </w:abstractNum>
  <w:abstractNum w:abstractNumId="15">
    <w:multiLevelType w:val="hybridMultilevel"/>
    <w:lvl w:ilvl="0">
      <w:start w:val="3"/>
      <w:numFmt w:val="decimal"/>
      <w:isLgl w:val="false"/>
      <w:suff w:val="tab"/>
      <w:lvlText w:val="%1."/>
      <w:lvlJc w:val="left"/>
      <w:pPr>
        <w:ind w:left="480" w:hanging="480"/>
      </w:pPr>
      <w:rPr>
        <w:rFonts w:hint="default"/>
        <w:sz w:val="24"/>
        <w:szCs w:val="24"/>
      </w:rPr>
    </w:lvl>
    <w:lvl w:ilvl="1">
      <w:start w:val="23"/>
      <w:numFmt w:val="decimal"/>
      <w:isLgl w:val="false"/>
      <w:suff w:val="tab"/>
      <w:lvlText w:val="%1.%2."/>
      <w:lvlJc w:val="left"/>
      <w:pPr>
        <w:ind w:left="1189" w:hanging="480"/>
      </w:pPr>
      <w:rPr>
        <w:rFonts w:hint="default"/>
      </w:rPr>
    </w:lvl>
    <w:lvl w:ilvl="2">
      <w:start w:val="1"/>
      <w:numFmt w:val="decimal"/>
      <w:isLgl w:val="false"/>
      <w:suff w:val="tab"/>
      <w:lvlText w:val="%1.%2.%3."/>
      <w:lvlJc w:val="left"/>
      <w:pPr>
        <w:ind w:left="2138" w:hanging="720"/>
      </w:pPr>
      <w:rPr>
        <w:rFonts w:hint="default"/>
      </w:rPr>
    </w:lvl>
    <w:lvl w:ilvl="3">
      <w:start w:val="1"/>
      <w:numFmt w:val="decimal"/>
      <w:isLgl w:val="false"/>
      <w:suff w:val="tab"/>
      <w:lvlText w:val="%1.%2.%3.%4."/>
      <w:lvlJc w:val="left"/>
      <w:pPr>
        <w:ind w:left="2847" w:hanging="720"/>
      </w:pPr>
      <w:rPr>
        <w:rFonts w:hint="default"/>
      </w:rPr>
    </w:lvl>
    <w:lvl w:ilvl="4">
      <w:start w:val="1"/>
      <w:numFmt w:val="decimal"/>
      <w:isLgl w:val="false"/>
      <w:suff w:val="tab"/>
      <w:lvlText w:val="%1.%2.%3.%4.%5."/>
      <w:lvlJc w:val="left"/>
      <w:pPr>
        <w:ind w:left="3916" w:hanging="1080"/>
      </w:pPr>
      <w:rPr>
        <w:rFonts w:hint="default"/>
      </w:rPr>
    </w:lvl>
    <w:lvl w:ilvl="5">
      <w:start w:val="1"/>
      <w:numFmt w:val="decimal"/>
      <w:isLgl w:val="false"/>
      <w:suff w:val="tab"/>
      <w:lvlText w:val="%1.%2.%3.%4.%5.%6."/>
      <w:lvlJc w:val="left"/>
      <w:pPr>
        <w:ind w:left="4625" w:hanging="1080"/>
      </w:pPr>
      <w:rPr>
        <w:rFonts w:hint="default"/>
      </w:rPr>
    </w:lvl>
    <w:lvl w:ilvl="6">
      <w:start w:val="1"/>
      <w:numFmt w:val="decimal"/>
      <w:isLgl w:val="false"/>
      <w:suff w:val="tab"/>
      <w:lvlText w:val="%1.%2.%3.%4.%5.%6.%7."/>
      <w:lvlJc w:val="left"/>
      <w:pPr>
        <w:ind w:left="5694" w:hanging="1440"/>
      </w:pPr>
      <w:rPr>
        <w:rFonts w:hint="default"/>
      </w:rPr>
    </w:lvl>
    <w:lvl w:ilvl="7">
      <w:start w:val="1"/>
      <w:numFmt w:val="decimal"/>
      <w:isLgl w:val="false"/>
      <w:suff w:val="tab"/>
      <w:lvlText w:val="%1.%2.%3.%4.%5.%6.%7.%8."/>
      <w:lvlJc w:val="left"/>
      <w:pPr>
        <w:ind w:left="6403" w:hanging="1440"/>
      </w:pPr>
      <w:rPr>
        <w:rFonts w:hint="default"/>
      </w:rPr>
    </w:lvl>
    <w:lvl w:ilvl="8">
      <w:start w:val="1"/>
      <w:numFmt w:val="decimal"/>
      <w:isLgl w:val="false"/>
      <w:suff w:val="tab"/>
      <w:lvlText w:val="%1.%2.%3.%4.%5.%6.%7.%8.%9."/>
      <w:lvlJc w:val="left"/>
      <w:pPr>
        <w:ind w:left="7472" w:hanging="1800"/>
      </w:pPr>
      <w:rPr>
        <w:rFonts w:hint="default"/>
      </w:rPr>
    </w:lvl>
  </w:abstractNum>
  <w:abstractNum w:abstractNumId="16">
    <w:multiLevelType w:val="hybridMultilevel"/>
    <w:lvl w:ilvl="0">
      <w:start w:val="1"/>
      <w:numFmt w:val="decimal"/>
      <w:isLgl w:val="false"/>
      <w:suff w:val="tab"/>
      <w:lvlText w:val="%1."/>
      <w:lvlJc w:val="left"/>
      <w:pPr>
        <w:ind w:left="1429" w:hanging="360"/>
      </w:pPr>
    </w:lvl>
    <w:lvl w:ilvl="1">
      <w:start w:val="5"/>
      <w:numFmt w:val="decimal"/>
      <w:isLgl/>
      <w:suff w:val="tab"/>
      <w:lvlText w:val="%1.%2."/>
      <w:lvlJc w:val="left"/>
      <w:pPr>
        <w:ind w:left="2239" w:hanging="1170"/>
      </w:pPr>
      <w:rPr>
        <w:rFonts w:hint="default"/>
      </w:rPr>
    </w:lvl>
    <w:lvl w:ilvl="2">
      <w:start w:val="1"/>
      <w:numFmt w:val="decimal"/>
      <w:isLgl/>
      <w:suff w:val="tab"/>
      <w:lvlText w:val="%1.%2.%3."/>
      <w:lvlJc w:val="left"/>
      <w:pPr>
        <w:ind w:left="2239" w:hanging="1170"/>
      </w:pPr>
      <w:rPr>
        <w:rFonts w:hint="default"/>
      </w:rPr>
    </w:lvl>
    <w:lvl w:ilvl="3">
      <w:start w:val="1"/>
      <w:numFmt w:val="decimal"/>
      <w:isLgl/>
      <w:suff w:val="tab"/>
      <w:lvlText w:val="%1.%2.%3.%4."/>
      <w:lvlJc w:val="left"/>
      <w:pPr>
        <w:ind w:left="2239" w:hanging="1170"/>
      </w:pPr>
      <w:rPr>
        <w:rFonts w:hint="default"/>
      </w:rPr>
    </w:lvl>
    <w:lvl w:ilvl="4">
      <w:start w:val="1"/>
      <w:numFmt w:val="decimal"/>
      <w:isLgl/>
      <w:suff w:val="tab"/>
      <w:lvlText w:val="%1.%2.%3.%4.%5."/>
      <w:lvlJc w:val="left"/>
      <w:pPr>
        <w:ind w:left="2239" w:hanging="1170"/>
      </w:pPr>
      <w:rPr>
        <w:rFonts w:hint="default"/>
      </w:rPr>
    </w:lvl>
    <w:lvl w:ilvl="5">
      <w:start w:val="1"/>
      <w:numFmt w:val="decimal"/>
      <w:isLgl/>
      <w:suff w:val="tab"/>
      <w:lvlText w:val="%1.%2.%3.%4.%5.%6."/>
      <w:lvlJc w:val="left"/>
      <w:pPr>
        <w:ind w:left="2239" w:hanging="1170"/>
      </w:pPr>
      <w:rPr>
        <w:rFonts w:hint="default"/>
      </w:rPr>
    </w:lvl>
    <w:lvl w:ilvl="6">
      <w:start w:val="1"/>
      <w:numFmt w:val="decimal"/>
      <w:isLgl/>
      <w:suff w:val="tab"/>
      <w:lvlText w:val="%1.%2.%3.%4.%5.%6.%7."/>
      <w:lvlJc w:val="left"/>
      <w:pPr>
        <w:ind w:left="2509" w:hanging="1440"/>
      </w:pPr>
      <w:rPr>
        <w:rFonts w:hint="default"/>
      </w:rPr>
    </w:lvl>
    <w:lvl w:ilvl="7">
      <w:start w:val="1"/>
      <w:numFmt w:val="decimal"/>
      <w:isLgl/>
      <w:suff w:val="tab"/>
      <w:lvlText w:val="%1.%2.%3.%4.%5.%6.%7.%8."/>
      <w:lvlJc w:val="left"/>
      <w:pPr>
        <w:ind w:left="2509" w:hanging="1440"/>
      </w:pPr>
      <w:rPr>
        <w:rFonts w:hint="default"/>
      </w:rPr>
    </w:lvl>
    <w:lvl w:ilvl="8">
      <w:start w:val="1"/>
      <w:numFmt w:val="decimal"/>
      <w:isLgl/>
      <w:suff w:val="tab"/>
      <w:lvlText w:val="%1.%2.%3.%4.%5.%6.%7.%8.%9."/>
      <w:lvlJc w:val="left"/>
      <w:pPr>
        <w:ind w:left="2869" w:hanging="1800"/>
      </w:pPr>
      <w:rPr>
        <w:rFonts w:hint="default"/>
      </w:rPr>
    </w:lvl>
  </w:abstractNum>
  <w:abstractNum w:abstractNumId="17">
    <w:multiLevelType w:val="hybridMultilevel"/>
    <w:lvl w:ilvl="0">
      <w:start w:val="8"/>
      <w:numFmt w:val="decimal"/>
      <w:isLgl w:val="false"/>
      <w:suff w:val="tab"/>
      <w:lvlText w:val="%1."/>
      <w:lvlJc w:val="left"/>
      <w:pPr>
        <w:ind w:left="540" w:hanging="540"/>
      </w:pPr>
      <w:rPr>
        <w:rFonts w:hint="default"/>
      </w:rPr>
    </w:lvl>
    <w:lvl w:ilvl="1">
      <w:start w:val="1"/>
      <w:numFmt w:val="decimal"/>
      <w:isLgl w:val="false"/>
      <w:suff w:val="tab"/>
      <w:lvlText w:val="%1.%2."/>
      <w:lvlJc w:val="left"/>
      <w:pPr>
        <w:ind w:left="1080" w:hanging="540"/>
      </w:pPr>
      <w:rPr>
        <w:rFonts w:hint="default"/>
      </w:rPr>
    </w:lvl>
    <w:lvl w:ilvl="2">
      <w:start w:val="7"/>
      <w:numFmt w:val="decimal"/>
      <w:isLgl w:val="false"/>
      <w:suff w:val="tab"/>
      <w:lvlText w:val="%1.%2.%3."/>
      <w:lvlJc w:val="left"/>
      <w:pPr>
        <w:ind w:left="1800" w:hanging="720"/>
      </w:pPr>
      <w:rPr>
        <w:rFonts w:hint="default"/>
      </w:rPr>
    </w:lvl>
    <w:lvl w:ilvl="3">
      <w:start w:val="1"/>
      <w:numFmt w:val="decimal"/>
      <w:isLgl w:val="false"/>
      <w:suff w:val="tab"/>
      <w:lvlText w:val="%1.%2.%3.%4."/>
      <w:lvlJc w:val="left"/>
      <w:pPr>
        <w:ind w:left="2340" w:hanging="720"/>
      </w:pPr>
      <w:rPr>
        <w:rFonts w:hint="default"/>
      </w:rPr>
    </w:lvl>
    <w:lvl w:ilvl="4">
      <w:start w:val="1"/>
      <w:numFmt w:val="decimal"/>
      <w:isLgl w:val="false"/>
      <w:suff w:val="tab"/>
      <w:lvlText w:val="%1.%2.%3.%4.%5."/>
      <w:lvlJc w:val="left"/>
      <w:pPr>
        <w:ind w:left="3240" w:hanging="1080"/>
      </w:pPr>
      <w:rPr>
        <w:rFonts w:hint="default"/>
      </w:rPr>
    </w:lvl>
    <w:lvl w:ilvl="5">
      <w:start w:val="1"/>
      <w:numFmt w:val="decimal"/>
      <w:isLgl w:val="false"/>
      <w:suff w:val="tab"/>
      <w:lvlText w:val="%1.%2.%3.%4.%5.%6."/>
      <w:lvlJc w:val="left"/>
      <w:pPr>
        <w:ind w:left="3780" w:hanging="1080"/>
      </w:pPr>
      <w:rPr>
        <w:rFonts w:hint="default"/>
      </w:rPr>
    </w:lvl>
    <w:lvl w:ilvl="6">
      <w:start w:val="1"/>
      <w:numFmt w:val="decimal"/>
      <w:isLgl w:val="false"/>
      <w:suff w:val="tab"/>
      <w:lvlText w:val="%1.%2.%3.%4.%5.%6.%7."/>
      <w:lvlJc w:val="left"/>
      <w:pPr>
        <w:ind w:left="4680" w:hanging="1440"/>
      </w:pPr>
      <w:rPr>
        <w:rFonts w:hint="default"/>
      </w:rPr>
    </w:lvl>
    <w:lvl w:ilvl="7">
      <w:start w:val="1"/>
      <w:numFmt w:val="decimal"/>
      <w:isLgl w:val="false"/>
      <w:suff w:val="tab"/>
      <w:lvlText w:val="%1.%2.%3.%4.%5.%6.%7.%8."/>
      <w:lvlJc w:val="left"/>
      <w:pPr>
        <w:ind w:left="5220" w:hanging="1440"/>
      </w:pPr>
      <w:rPr>
        <w:rFonts w:hint="default"/>
      </w:rPr>
    </w:lvl>
    <w:lvl w:ilvl="8">
      <w:start w:val="1"/>
      <w:numFmt w:val="decimal"/>
      <w:isLgl w:val="false"/>
      <w:suff w:val="tab"/>
      <w:lvlText w:val="%1.%2.%3.%4.%5.%6.%7.%8.%9."/>
      <w:lvlJc w:val="left"/>
      <w:pPr>
        <w:ind w:left="6120" w:hanging="1800"/>
      </w:pPr>
      <w:rPr>
        <w:rFonts w:hint="default"/>
      </w:rPr>
    </w:lvl>
  </w:abstractNum>
  <w:abstractNum w:abstractNumId="18">
    <w:multiLevelType w:val="hybridMultilevel"/>
    <w:lvl w:ilvl="0">
      <w:start w:val="1"/>
      <w:numFmt w:val="bullet"/>
      <w:isLgl w:val="false"/>
      <w:suff w:val="tab"/>
      <w:lvlText w:val="-"/>
      <w:lvlJc w:val="left"/>
      <w:pPr>
        <w:ind w:left="1080" w:hanging="360"/>
        <w:tabs>
          <w:tab w:val="num" w:pos="1080" w:leader="none"/>
        </w:tabs>
      </w:pPr>
      <w:rPr>
        <w:rFonts w:hint="default" w:ascii="Tahoma" w:hAnsi="Tahoma"/>
      </w:rPr>
    </w:lvl>
    <w:lvl w:ilvl="1">
      <w:start w:val="1"/>
      <w:numFmt w:val="bullet"/>
      <w:isLgl w:val="false"/>
      <w:suff w:val="tab"/>
      <w:lvlText w:val="o"/>
      <w:lvlJc w:val="left"/>
      <w:pPr>
        <w:ind w:left="1800" w:hanging="360"/>
        <w:tabs>
          <w:tab w:val="num" w:pos="1800" w:leader="none"/>
        </w:tabs>
      </w:pPr>
      <w:rPr>
        <w:rFonts w:hint="default" w:ascii="Courier New" w:hAnsi="Courier New"/>
      </w:rPr>
    </w:lvl>
    <w:lvl w:ilvl="2">
      <w:start w:val="1"/>
      <w:numFmt w:val="bullet"/>
      <w:isLgl w:val="false"/>
      <w:suff w:val="tab"/>
      <w:lvlText w:val=""/>
      <w:lvlJc w:val="left"/>
      <w:pPr>
        <w:ind w:left="2520" w:hanging="360"/>
        <w:tabs>
          <w:tab w:val="num" w:pos="2520" w:leader="none"/>
        </w:tabs>
      </w:pPr>
      <w:rPr>
        <w:rFonts w:hint="default" w:ascii="Wingdings" w:hAnsi="Wingdings"/>
      </w:rPr>
    </w:lvl>
    <w:lvl w:ilvl="3">
      <w:start w:val="1"/>
      <w:numFmt w:val="bullet"/>
      <w:isLgl w:val="false"/>
      <w:suff w:val="tab"/>
      <w:lvlText w:val=""/>
      <w:lvlJc w:val="left"/>
      <w:pPr>
        <w:ind w:left="3240" w:hanging="360"/>
        <w:tabs>
          <w:tab w:val="num" w:pos="3240" w:leader="none"/>
        </w:tabs>
      </w:pPr>
      <w:rPr>
        <w:rFonts w:hint="default" w:ascii="Symbol" w:hAnsi="Symbol"/>
      </w:rPr>
    </w:lvl>
    <w:lvl w:ilvl="4">
      <w:start w:val="1"/>
      <w:numFmt w:val="bullet"/>
      <w:isLgl w:val="false"/>
      <w:suff w:val="tab"/>
      <w:lvlText w:val="o"/>
      <w:lvlJc w:val="left"/>
      <w:pPr>
        <w:ind w:left="3960" w:hanging="360"/>
        <w:tabs>
          <w:tab w:val="num" w:pos="3960" w:leader="none"/>
        </w:tabs>
      </w:pPr>
      <w:rPr>
        <w:rFonts w:hint="default" w:ascii="Courier New" w:hAnsi="Courier New"/>
      </w:rPr>
    </w:lvl>
    <w:lvl w:ilvl="5">
      <w:start w:val="1"/>
      <w:numFmt w:val="bullet"/>
      <w:isLgl w:val="false"/>
      <w:suff w:val="tab"/>
      <w:lvlText w:val=""/>
      <w:lvlJc w:val="left"/>
      <w:pPr>
        <w:ind w:left="4680" w:hanging="360"/>
        <w:tabs>
          <w:tab w:val="num" w:pos="4680" w:leader="none"/>
        </w:tabs>
      </w:pPr>
      <w:rPr>
        <w:rFonts w:hint="default" w:ascii="Wingdings" w:hAnsi="Wingdings"/>
      </w:rPr>
    </w:lvl>
    <w:lvl w:ilvl="6">
      <w:start w:val="1"/>
      <w:numFmt w:val="bullet"/>
      <w:isLgl w:val="false"/>
      <w:suff w:val="tab"/>
      <w:lvlText w:val=""/>
      <w:lvlJc w:val="left"/>
      <w:pPr>
        <w:ind w:left="5400" w:hanging="360"/>
        <w:tabs>
          <w:tab w:val="num" w:pos="5400" w:leader="none"/>
        </w:tabs>
      </w:pPr>
      <w:rPr>
        <w:rFonts w:hint="default" w:ascii="Symbol" w:hAnsi="Symbol"/>
      </w:rPr>
    </w:lvl>
    <w:lvl w:ilvl="7">
      <w:start w:val="1"/>
      <w:numFmt w:val="bullet"/>
      <w:isLgl w:val="false"/>
      <w:suff w:val="tab"/>
      <w:lvlText w:val="o"/>
      <w:lvlJc w:val="left"/>
      <w:pPr>
        <w:ind w:left="6120" w:hanging="360"/>
        <w:tabs>
          <w:tab w:val="num" w:pos="6120" w:leader="none"/>
        </w:tabs>
      </w:pPr>
      <w:rPr>
        <w:rFonts w:hint="default" w:ascii="Courier New" w:hAnsi="Courier New"/>
      </w:rPr>
    </w:lvl>
    <w:lvl w:ilvl="8">
      <w:start w:val="1"/>
      <w:numFmt w:val="bullet"/>
      <w:isLgl w:val="false"/>
      <w:suff w:val="tab"/>
      <w:lvlText w:val=""/>
      <w:lvlJc w:val="left"/>
      <w:pPr>
        <w:ind w:left="6840" w:hanging="360"/>
        <w:tabs>
          <w:tab w:val="num" w:pos="6840" w:leader="none"/>
        </w:tabs>
      </w:pPr>
      <w:rPr>
        <w:rFonts w:hint="default" w:ascii="Wingdings" w:hAnsi="Wingdings"/>
      </w:rPr>
    </w:lvl>
  </w:abstractNum>
  <w:abstractNum w:abstractNumId="19">
    <w:multiLevelType w:val="hybridMultilevel"/>
    <w:lvl w:ilvl="0">
      <w:start w:val="8"/>
      <w:numFmt w:val="decimal"/>
      <w:isLgl w:val="false"/>
      <w:suff w:val="tab"/>
      <w:lvlText w:val="%1."/>
      <w:lvlJc w:val="left"/>
      <w:pPr>
        <w:ind w:left="720" w:hanging="360"/>
        <w:tabs>
          <w:tab w:val="num" w:pos="720" w:leader="none"/>
        </w:tabs>
      </w:pPr>
      <w:rPr>
        <w:sz w:val="24"/>
        <w:szCs w:val="29"/>
      </w:rPr>
    </w:lvl>
    <w:lvl w:ilvl="1">
      <w:start w:val="2"/>
      <w:numFmt w:val="decimal"/>
      <w:isLgl w:val="false"/>
      <w:suff w:val="tab"/>
      <w:lvlText w:val="%1.%2."/>
      <w:lvlJc w:val="left"/>
      <w:pPr>
        <w:ind w:left="1080" w:hanging="360"/>
        <w:tabs>
          <w:tab w:val="num" w:pos="1080" w:leader="none"/>
        </w:tabs>
      </w:pPr>
      <w:rPr>
        <w:color w:val="auto"/>
        <w:sz w:val="24"/>
        <w:szCs w:val="29"/>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20">
    <w:multiLevelType w:val="hybridMultilevel"/>
    <w:lvl w:ilvl="0">
      <w:start w:val="1"/>
      <w:numFmt w:val="upperRoman"/>
      <w:pStyle w:val="1751"/>
      <w:isLgl w:val="false"/>
      <w:suff w:val="tab"/>
      <w:lvlText w:val="Раздел %1."/>
      <w:lvlJc w:val="left"/>
      <w:pPr>
        <w:ind w:left="2268" w:hanging="2268"/>
        <w:tabs>
          <w:tab w:val="num" w:pos="2268" w:leader="none"/>
        </w:tabs>
      </w:pPr>
      <w:rPr>
        <w:rFonts w:hint="default" w:cs="Times New Roman"/>
        <w:sz w:val="28"/>
        <w:szCs w:val="28"/>
      </w:rPr>
    </w:lvl>
    <w:lvl w:ilvl="1">
      <w:start w:val="1"/>
      <w:numFmt w:val="decimal"/>
      <w:pStyle w:val="1752"/>
      <w:isLgl w:val="false"/>
      <w:suff w:val="tab"/>
      <w:lvlText w:val="Статья %2."/>
      <w:lvlJc w:val="left"/>
      <w:pPr>
        <w:ind w:left="2268" w:hanging="2268"/>
        <w:tabs>
          <w:tab w:val="num" w:pos="2268" w:leader="none"/>
        </w:tabs>
      </w:pPr>
      <w:rPr>
        <w:rFonts w:hint="default" w:ascii="Times New Roman" w:hAnsi="Times New Roman" w:cs="Times New Roman"/>
        <w:b w:val="0"/>
        <w:bCs w:val="0"/>
        <w:i w:val="0"/>
        <w:iCs w:val="0"/>
        <w:caps w:val="0"/>
        <w:smallCaps w:val="0"/>
        <w:strike w:val="0"/>
        <w:vanish w:val="0"/>
        <w:color w:val="auto"/>
        <w:spacing w:val="0"/>
        <w:position w:val="0"/>
        <w:sz w:val="24"/>
        <w:szCs w:val="24"/>
        <w:u w:val="none"/>
        <w:vertAlign w:val="baseline"/>
        <w14:textOutline w14:w="0" w14:cap="rnd" w14:cmpd="sng" w14:algn="ctr">
          <w14:noFill/>
          <w14:prstDash w14:val="solid"/>
          <w14:bevel/>
        </w14:textOutline>
      </w:rPr>
    </w:lvl>
    <w:lvl w:ilvl="2">
      <w:start w:val="1"/>
      <w:numFmt w:val="decimal"/>
      <w:pStyle w:val="1753"/>
      <w:isLgl w:val="false"/>
      <w:suff w:val="tab"/>
      <w:lvlText w:val="%2.%3."/>
      <w:lvlJc w:val="left"/>
      <w:pPr>
        <w:ind w:left="1134" w:hanging="1134"/>
        <w:tabs>
          <w:tab w:val="num" w:pos="1134" w:leader="none"/>
        </w:tabs>
      </w:pPr>
      <w:rPr>
        <w:rFonts w:hint="default" w:cs="Times New Roman"/>
        <w:b/>
      </w:rPr>
    </w:lvl>
    <w:lvl w:ilvl="3">
      <w:start w:val="1"/>
      <w:numFmt w:val="decimal"/>
      <w:pStyle w:val="1754"/>
      <w:isLgl w:val="false"/>
      <w:suff w:val="tab"/>
      <w:lvlText w:val="%2.%3.%4."/>
      <w:lvlJc w:val="left"/>
      <w:pPr>
        <w:ind w:left="2394" w:hanging="1134"/>
        <w:tabs>
          <w:tab w:val="num" w:pos="2394" w:leader="none"/>
        </w:tabs>
      </w:pPr>
      <w:rPr>
        <w:rFonts w:hint="default" w:cs="Times New Roman"/>
        <w:b w:val="0"/>
        <w:i w:val="0"/>
        <w:color w:val="auto"/>
      </w:rPr>
    </w:lvl>
    <w:lvl w:ilvl="4">
      <w:start w:val="1"/>
      <w:numFmt w:val="russianLower"/>
      <w:pStyle w:val="1755"/>
      <w:isLgl w:val="false"/>
      <w:suff w:val="tab"/>
      <w:lvlText w:val="(%5)"/>
      <w:lvlJc w:val="left"/>
      <w:pPr>
        <w:ind w:left="2835" w:hanging="567"/>
        <w:tabs>
          <w:tab w:val="num" w:pos="2835" w:leader="none"/>
        </w:tabs>
      </w:pPr>
      <w:rPr>
        <w:rFonts w:hint="default" w:cs="Times New Roman"/>
        <w:b w:val="0"/>
        <w:color w:val="auto"/>
      </w:rPr>
    </w:lvl>
    <w:lvl w:ilvl="5">
      <w:start w:val="1"/>
      <w:numFmt w:val="decimal"/>
      <w:pStyle w:val="1756"/>
      <w:isLgl w:val="false"/>
      <w:suff w:val="tab"/>
      <w:lvlText w:val="(%6)"/>
      <w:lvlJc w:val="left"/>
      <w:pPr>
        <w:ind w:left="2835" w:hanging="567"/>
        <w:tabs>
          <w:tab w:val="num" w:pos="2835" w:leader="none"/>
        </w:tabs>
      </w:pPr>
      <w:rPr>
        <w:rFonts w:hint="default" w:cs="Times New Roman"/>
        <w:b w:val="0"/>
        <w:color w:val="auto"/>
      </w:rPr>
    </w:lvl>
    <w:lvl w:ilvl="6">
      <w:start w:val="1"/>
      <w:numFmt w:val="decimal"/>
      <w:lvlRestart w:val="0"/>
      <w:isLgl w:val="false"/>
      <w:suff w:val="tab"/>
      <w:lvlText w:val="%1.%2.%3.%4.%5.%6.%7."/>
      <w:lvlJc w:val="left"/>
      <w:pPr>
        <w:ind w:left="3240" w:hanging="1080"/>
        <w:tabs>
          <w:tab w:val="num" w:pos="3240" w:leader="none"/>
        </w:tabs>
      </w:pPr>
      <w:rPr>
        <w:rFonts w:hint="default" w:cs="Times New Roman"/>
      </w:rPr>
    </w:lvl>
    <w:lvl w:ilvl="7">
      <w:start w:val="1"/>
      <w:numFmt w:val="decimal"/>
      <w:isLgl w:val="false"/>
      <w:suff w:val="tab"/>
      <w:lvlText w:val="%1.%2.%3.%4.%5.%6.%7.%8."/>
      <w:lvlJc w:val="left"/>
      <w:pPr>
        <w:ind w:left="3744" w:hanging="1224"/>
        <w:tabs>
          <w:tab w:val="num" w:pos="3744" w:leader="none"/>
        </w:tabs>
      </w:pPr>
      <w:rPr>
        <w:rFonts w:hint="default" w:cs="Times New Roman"/>
      </w:rPr>
    </w:lvl>
    <w:lvl w:ilvl="8">
      <w:start w:val="1"/>
      <w:numFmt w:val="decimal"/>
      <w:isLgl w:val="false"/>
      <w:suff w:val="tab"/>
      <w:lvlText w:val="%1.%2.%3.%4.%5.%6.%7.%8.%9."/>
      <w:lvlJc w:val="left"/>
      <w:pPr>
        <w:ind w:left="4320" w:hanging="1440"/>
        <w:tabs>
          <w:tab w:val="num" w:pos="4320" w:leader="none"/>
        </w:tabs>
      </w:pPr>
      <w:rPr>
        <w:rFonts w:hint="default" w:cs="Times New Roman"/>
      </w:rPr>
    </w:lvl>
  </w:abstractNum>
  <w:abstractNum w:abstractNumId="21">
    <w:multiLevelType w:val="hybridMultilevel"/>
    <w:lvl w:ilvl="0">
      <w:start w:val="1"/>
      <w:numFmt w:val="bullet"/>
      <w:isLgl w:val="false"/>
      <w:suff w:val="tab"/>
      <w:lvlText w:val=""/>
      <w:lvlJc w:val="left"/>
      <w:pPr>
        <w:ind w:left="1260" w:hanging="360"/>
        <w:tabs>
          <w:tab w:val="num" w:pos="1260" w:leader="none"/>
        </w:tabs>
      </w:pPr>
      <w:rPr>
        <w:rFonts w:hint="default" w:ascii="Symbol" w:hAnsi="Symbol"/>
      </w:rPr>
    </w:lvl>
    <w:lvl w:ilvl="1">
      <w:start w:val="1"/>
      <w:numFmt w:val="bullet"/>
      <w:isLgl w:val="false"/>
      <w:suff w:val="tab"/>
      <w:lvlText w:val="o"/>
      <w:lvlJc w:val="left"/>
      <w:pPr>
        <w:ind w:left="1980" w:hanging="360"/>
        <w:tabs>
          <w:tab w:val="num" w:pos="1980" w:leader="none"/>
        </w:tabs>
      </w:pPr>
      <w:rPr>
        <w:rFonts w:hint="default" w:ascii="Courier New" w:hAnsi="Courier New"/>
      </w:rPr>
    </w:lvl>
    <w:lvl w:ilvl="2">
      <w:start w:val="1"/>
      <w:numFmt w:val="bullet"/>
      <w:isLgl w:val="false"/>
      <w:suff w:val="tab"/>
      <w:lvlText w:val=""/>
      <w:lvlJc w:val="left"/>
      <w:pPr>
        <w:ind w:left="2700" w:hanging="360"/>
        <w:tabs>
          <w:tab w:val="num" w:pos="2700" w:leader="none"/>
        </w:tabs>
      </w:pPr>
      <w:rPr>
        <w:rFonts w:hint="default" w:ascii="Wingdings" w:hAnsi="Wingdings"/>
      </w:rPr>
    </w:lvl>
    <w:lvl w:ilvl="3">
      <w:start w:val="1"/>
      <w:numFmt w:val="bullet"/>
      <w:isLgl w:val="false"/>
      <w:suff w:val="tab"/>
      <w:lvlText w:val=""/>
      <w:lvlJc w:val="left"/>
      <w:pPr>
        <w:ind w:left="3420" w:hanging="360"/>
        <w:tabs>
          <w:tab w:val="num" w:pos="3420" w:leader="none"/>
        </w:tabs>
      </w:pPr>
      <w:rPr>
        <w:rFonts w:hint="default" w:ascii="Symbol" w:hAnsi="Symbol"/>
      </w:rPr>
    </w:lvl>
    <w:lvl w:ilvl="4">
      <w:start w:val="1"/>
      <w:numFmt w:val="bullet"/>
      <w:isLgl w:val="false"/>
      <w:suff w:val="tab"/>
      <w:lvlText w:val="o"/>
      <w:lvlJc w:val="left"/>
      <w:pPr>
        <w:ind w:left="4140" w:hanging="360"/>
        <w:tabs>
          <w:tab w:val="num" w:pos="4140" w:leader="none"/>
        </w:tabs>
      </w:pPr>
      <w:rPr>
        <w:rFonts w:hint="default" w:ascii="Courier New" w:hAnsi="Courier New"/>
      </w:rPr>
    </w:lvl>
    <w:lvl w:ilvl="5">
      <w:start w:val="1"/>
      <w:numFmt w:val="bullet"/>
      <w:isLgl w:val="false"/>
      <w:suff w:val="tab"/>
      <w:lvlText w:val=""/>
      <w:lvlJc w:val="left"/>
      <w:pPr>
        <w:ind w:left="4860" w:hanging="360"/>
        <w:tabs>
          <w:tab w:val="num" w:pos="4860" w:leader="none"/>
        </w:tabs>
      </w:pPr>
      <w:rPr>
        <w:rFonts w:hint="default" w:ascii="Wingdings" w:hAnsi="Wingdings"/>
      </w:rPr>
    </w:lvl>
    <w:lvl w:ilvl="6">
      <w:start w:val="1"/>
      <w:numFmt w:val="bullet"/>
      <w:isLgl w:val="false"/>
      <w:suff w:val="tab"/>
      <w:lvlText w:val=""/>
      <w:lvlJc w:val="left"/>
      <w:pPr>
        <w:ind w:left="5580" w:hanging="360"/>
        <w:tabs>
          <w:tab w:val="num" w:pos="5580" w:leader="none"/>
        </w:tabs>
      </w:pPr>
      <w:rPr>
        <w:rFonts w:hint="default" w:ascii="Symbol" w:hAnsi="Symbol"/>
      </w:rPr>
    </w:lvl>
    <w:lvl w:ilvl="7">
      <w:start w:val="1"/>
      <w:numFmt w:val="bullet"/>
      <w:isLgl w:val="false"/>
      <w:suff w:val="tab"/>
      <w:lvlText w:val="o"/>
      <w:lvlJc w:val="left"/>
      <w:pPr>
        <w:ind w:left="6300" w:hanging="360"/>
        <w:tabs>
          <w:tab w:val="num" w:pos="6300" w:leader="none"/>
        </w:tabs>
      </w:pPr>
      <w:rPr>
        <w:rFonts w:hint="default" w:ascii="Courier New" w:hAnsi="Courier New"/>
      </w:rPr>
    </w:lvl>
    <w:lvl w:ilvl="8">
      <w:start w:val="1"/>
      <w:numFmt w:val="bullet"/>
      <w:isLgl w:val="false"/>
      <w:suff w:val="tab"/>
      <w:lvlText w:val=""/>
      <w:lvlJc w:val="left"/>
      <w:pPr>
        <w:ind w:left="7020" w:hanging="360"/>
        <w:tabs>
          <w:tab w:val="num" w:pos="7020" w:leader="none"/>
        </w:tabs>
      </w:pPr>
      <w:rPr>
        <w:rFonts w:hint="default" w:ascii="Wingdings" w:hAnsi="Wingdings"/>
      </w:rPr>
    </w:lvl>
  </w:abstractNum>
  <w:abstractNum w:abstractNumId="22">
    <w:multiLevelType w:val="hybridMultilevel"/>
    <w:lvl w:ilvl="0">
      <w:start w:val="1"/>
      <w:numFmt w:val="bullet"/>
      <w:isLgl w:val="false"/>
      <w:suff w:val="tab"/>
      <w:lvlText w:val=""/>
      <w:lvlJc w:val="left"/>
      <w:pPr>
        <w:ind w:left="720" w:hanging="360"/>
        <w:tabs>
          <w:tab w:val="num" w:pos="720" w:leader="none"/>
        </w:tabs>
      </w:pPr>
      <w:rPr>
        <w:rFonts w:hint="default" w:ascii="Symbol" w:hAnsi="Symbol"/>
      </w:rPr>
    </w:lvl>
    <w:lvl w:ilvl="1">
      <w:start w:val="1"/>
      <w:numFmt w:val="bullet"/>
      <w:isLgl w:val="false"/>
      <w:suff w:val="tab"/>
      <w:lvlText w:val="o"/>
      <w:lvlJc w:val="left"/>
      <w:pPr>
        <w:ind w:left="1440" w:hanging="360"/>
        <w:tabs>
          <w:tab w:val="num" w:pos="1440" w:leader="none"/>
        </w:tabs>
      </w:pPr>
      <w:rPr>
        <w:rFonts w:hint="default" w:ascii="Courier New" w:hAnsi="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23">
    <w:multiLevelType w:val="hybridMultilevel"/>
    <w:lvl w:ilvl="0">
      <w:start w:val="1"/>
      <w:numFmt w:val="bullet"/>
      <w:isLgl w:val="false"/>
      <w:suff w:val="tab"/>
      <w:lvlText w:val="-"/>
      <w:lvlJc w:val="left"/>
      <w:pPr>
        <w:ind w:left="1080" w:hanging="360"/>
        <w:tabs>
          <w:tab w:val="num" w:pos="1080" w:leader="none"/>
        </w:tabs>
      </w:pPr>
      <w:rPr>
        <w:rFonts w:hint="default" w:ascii="Tahoma" w:hAnsi="Tahoma"/>
      </w:rPr>
    </w:lvl>
    <w:lvl w:ilvl="1">
      <w:start w:val="1"/>
      <w:numFmt w:val="bullet"/>
      <w:isLgl w:val="false"/>
      <w:suff w:val="tab"/>
      <w:lvlText w:val="o"/>
      <w:lvlJc w:val="left"/>
      <w:pPr>
        <w:ind w:left="1800" w:hanging="360"/>
        <w:tabs>
          <w:tab w:val="num" w:pos="1800" w:leader="none"/>
        </w:tabs>
      </w:pPr>
      <w:rPr>
        <w:rFonts w:hint="default" w:ascii="Courier New" w:hAnsi="Courier New"/>
      </w:rPr>
    </w:lvl>
    <w:lvl w:ilvl="2">
      <w:start w:val="1"/>
      <w:numFmt w:val="bullet"/>
      <w:isLgl w:val="false"/>
      <w:suff w:val="tab"/>
      <w:lvlText w:val=""/>
      <w:lvlJc w:val="left"/>
      <w:pPr>
        <w:ind w:left="2520" w:hanging="360"/>
        <w:tabs>
          <w:tab w:val="num" w:pos="2520" w:leader="none"/>
        </w:tabs>
      </w:pPr>
      <w:rPr>
        <w:rFonts w:hint="default" w:ascii="Wingdings" w:hAnsi="Wingdings"/>
      </w:rPr>
    </w:lvl>
    <w:lvl w:ilvl="3">
      <w:start w:val="1"/>
      <w:numFmt w:val="bullet"/>
      <w:isLgl w:val="false"/>
      <w:suff w:val="tab"/>
      <w:lvlText w:val=""/>
      <w:lvlJc w:val="left"/>
      <w:pPr>
        <w:ind w:left="3240" w:hanging="360"/>
        <w:tabs>
          <w:tab w:val="num" w:pos="3240" w:leader="none"/>
        </w:tabs>
      </w:pPr>
      <w:rPr>
        <w:rFonts w:hint="default" w:ascii="Symbol" w:hAnsi="Symbol"/>
      </w:rPr>
    </w:lvl>
    <w:lvl w:ilvl="4">
      <w:start w:val="1"/>
      <w:numFmt w:val="bullet"/>
      <w:isLgl w:val="false"/>
      <w:suff w:val="tab"/>
      <w:lvlText w:val="o"/>
      <w:lvlJc w:val="left"/>
      <w:pPr>
        <w:ind w:left="3960" w:hanging="360"/>
        <w:tabs>
          <w:tab w:val="num" w:pos="3960" w:leader="none"/>
        </w:tabs>
      </w:pPr>
      <w:rPr>
        <w:rFonts w:hint="default" w:ascii="Courier New" w:hAnsi="Courier New"/>
      </w:rPr>
    </w:lvl>
    <w:lvl w:ilvl="5">
      <w:start w:val="1"/>
      <w:numFmt w:val="bullet"/>
      <w:isLgl w:val="false"/>
      <w:suff w:val="tab"/>
      <w:lvlText w:val=""/>
      <w:lvlJc w:val="left"/>
      <w:pPr>
        <w:ind w:left="4680" w:hanging="360"/>
        <w:tabs>
          <w:tab w:val="num" w:pos="4680" w:leader="none"/>
        </w:tabs>
      </w:pPr>
      <w:rPr>
        <w:rFonts w:hint="default" w:ascii="Wingdings" w:hAnsi="Wingdings"/>
      </w:rPr>
    </w:lvl>
    <w:lvl w:ilvl="6">
      <w:start w:val="1"/>
      <w:numFmt w:val="bullet"/>
      <w:isLgl w:val="false"/>
      <w:suff w:val="tab"/>
      <w:lvlText w:val=""/>
      <w:lvlJc w:val="left"/>
      <w:pPr>
        <w:ind w:left="5400" w:hanging="360"/>
        <w:tabs>
          <w:tab w:val="num" w:pos="5400" w:leader="none"/>
        </w:tabs>
      </w:pPr>
      <w:rPr>
        <w:rFonts w:hint="default" w:ascii="Symbol" w:hAnsi="Symbol"/>
      </w:rPr>
    </w:lvl>
    <w:lvl w:ilvl="7">
      <w:start w:val="1"/>
      <w:numFmt w:val="bullet"/>
      <w:isLgl w:val="false"/>
      <w:suff w:val="tab"/>
      <w:lvlText w:val="o"/>
      <w:lvlJc w:val="left"/>
      <w:pPr>
        <w:ind w:left="6120" w:hanging="360"/>
        <w:tabs>
          <w:tab w:val="num" w:pos="6120" w:leader="none"/>
        </w:tabs>
      </w:pPr>
      <w:rPr>
        <w:rFonts w:hint="default" w:ascii="Courier New" w:hAnsi="Courier New"/>
      </w:rPr>
    </w:lvl>
    <w:lvl w:ilvl="8">
      <w:start w:val="1"/>
      <w:numFmt w:val="bullet"/>
      <w:isLgl w:val="false"/>
      <w:suff w:val="tab"/>
      <w:lvlText w:val=""/>
      <w:lvlJc w:val="left"/>
      <w:pPr>
        <w:ind w:left="6840" w:hanging="360"/>
        <w:tabs>
          <w:tab w:val="num" w:pos="6840" w:leader="none"/>
        </w:tabs>
      </w:pPr>
      <w:rPr>
        <w:rFonts w:hint="default" w:ascii="Wingdings" w:hAnsi="Wingdings"/>
      </w:rPr>
    </w:lvl>
  </w:abstractNum>
  <w:abstractNum w:abstractNumId="24">
    <w:multiLevelType w:val="hybridMultilevel"/>
    <w:lvl w:ilvl="0">
      <w:start w:val="1"/>
      <w:numFmt w:val="bullet"/>
      <w:isLgl w:val="false"/>
      <w:suff w:val="tab"/>
      <w:lvlText w:val="-"/>
      <w:lvlJc w:val="left"/>
      <w:pPr>
        <w:ind w:left="1080" w:hanging="360"/>
        <w:tabs>
          <w:tab w:val="num" w:pos="1080" w:leader="none"/>
        </w:tabs>
      </w:pPr>
      <w:rPr>
        <w:rFonts w:hint="default" w:ascii="Tahoma" w:hAnsi="Tahoma"/>
      </w:rPr>
    </w:lvl>
    <w:lvl w:ilvl="1">
      <w:start w:val="1"/>
      <w:numFmt w:val="bullet"/>
      <w:isLgl w:val="false"/>
      <w:suff w:val="tab"/>
      <w:lvlText w:val="o"/>
      <w:lvlJc w:val="left"/>
      <w:pPr>
        <w:ind w:left="1800" w:hanging="360"/>
        <w:tabs>
          <w:tab w:val="num" w:pos="1800" w:leader="none"/>
        </w:tabs>
      </w:pPr>
      <w:rPr>
        <w:rFonts w:hint="default" w:ascii="Courier New" w:hAnsi="Courier New"/>
      </w:rPr>
    </w:lvl>
    <w:lvl w:ilvl="2">
      <w:start w:val="1"/>
      <w:numFmt w:val="bullet"/>
      <w:isLgl w:val="false"/>
      <w:suff w:val="tab"/>
      <w:lvlText w:val=""/>
      <w:lvlJc w:val="left"/>
      <w:pPr>
        <w:ind w:left="2520" w:hanging="360"/>
        <w:tabs>
          <w:tab w:val="num" w:pos="2520" w:leader="none"/>
        </w:tabs>
      </w:pPr>
      <w:rPr>
        <w:rFonts w:hint="default" w:ascii="Wingdings" w:hAnsi="Wingdings"/>
      </w:rPr>
    </w:lvl>
    <w:lvl w:ilvl="3">
      <w:start w:val="1"/>
      <w:numFmt w:val="bullet"/>
      <w:isLgl w:val="false"/>
      <w:suff w:val="tab"/>
      <w:lvlText w:val=""/>
      <w:lvlJc w:val="left"/>
      <w:pPr>
        <w:ind w:left="3240" w:hanging="360"/>
        <w:tabs>
          <w:tab w:val="num" w:pos="3240" w:leader="none"/>
        </w:tabs>
      </w:pPr>
      <w:rPr>
        <w:rFonts w:hint="default" w:ascii="Symbol" w:hAnsi="Symbol"/>
      </w:rPr>
    </w:lvl>
    <w:lvl w:ilvl="4">
      <w:start w:val="1"/>
      <w:numFmt w:val="bullet"/>
      <w:isLgl w:val="false"/>
      <w:suff w:val="tab"/>
      <w:lvlText w:val="o"/>
      <w:lvlJc w:val="left"/>
      <w:pPr>
        <w:ind w:left="3960" w:hanging="360"/>
        <w:tabs>
          <w:tab w:val="num" w:pos="3960" w:leader="none"/>
        </w:tabs>
      </w:pPr>
      <w:rPr>
        <w:rFonts w:hint="default" w:ascii="Courier New" w:hAnsi="Courier New"/>
      </w:rPr>
    </w:lvl>
    <w:lvl w:ilvl="5">
      <w:start w:val="1"/>
      <w:numFmt w:val="bullet"/>
      <w:isLgl w:val="false"/>
      <w:suff w:val="tab"/>
      <w:lvlText w:val=""/>
      <w:lvlJc w:val="left"/>
      <w:pPr>
        <w:ind w:left="4680" w:hanging="360"/>
        <w:tabs>
          <w:tab w:val="num" w:pos="4680" w:leader="none"/>
        </w:tabs>
      </w:pPr>
      <w:rPr>
        <w:rFonts w:hint="default" w:ascii="Wingdings" w:hAnsi="Wingdings"/>
      </w:rPr>
    </w:lvl>
    <w:lvl w:ilvl="6">
      <w:start w:val="1"/>
      <w:numFmt w:val="bullet"/>
      <w:isLgl w:val="false"/>
      <w:suff w:val="tab"/>
      <w:lvlText w:val=""/>
      <w:lvlJc w:val="left"/>
      <w:pPr>
        <w:ind w:left="5400" w:hanging="360"/>
        <w:tabs>
          <w:tab w:val="num" w:pos="5400" w:leader="none"/>
        </w:tabs>
      </w:pPr>
      <w:rPr>
        <w:rFonts w:hint="default" w:ascii="Symbol" w:hAnsi="Symbol"/>
      </w:rPr>
    </w:lvl>
    <w:lvl w:ilvl="7">
      <w:start w:val="1"/>
      <w:numFmt w:val="bullet"/>
      <w:isLgl w:val="false"/>
      <w:suff w:val="tab"/>
      <w:lvlText w:val="o"/>
      <w:lvlJc w:val="left"/>
      <w:pPr>
        <w:ind w:left="6120" w:hanging="360"/>
        <w:tabs>
          <w:tab w:val="num" w:pos="6120" w:leader="none"/>
        </w:tabs>
      </w:pPr>
      <w:rPr>
        <w:rFonts w:hint="default" w:ascii="Courier New" w:hAnsi="Courier New"/>
      </w:rPr>
    </w:lvl>
    <w:lvl w:ilvl="8">
      <w:start w:val="1"/>
      <w:numFmt w:val="bullet"/>
      <w:isLgl w:val="false"/>
      <w:suff w:val="tab"/>
      <w:lvlText w:val=""/>
      <w:lvlJc w:val="left"/>
      <w:pPr>
        <w:ind w:left="6840" w:hanging="360"/>
        <w:tabs>
          <w:tab w:val="num" w:pos="6840" w:leader="none"/>
        </w:tabs>
      </w:pPr>
      <w:rPr>
        <w:rFonts w:hint="default" w:ascii="Wingdings" w:hAnsi="Wingdings"/>
      </w:rPr>
    </w:lvl>
  </w:abstractNum>
  <w:abstractNum w:abstractNumId="25">
    <w:multiLevelType w:val="hybridMultilevel"/>
    <w:lvl w:ilvl="0">
      <w:start w:val="1"/>
      <w:numFmt w:val="decimal"/>
      <w:isLgl w:val="false"/>
      <w:suff w:val="tab"/>
      <w:lvlText w:val="6.%1."/>
      <w:lvlJc w:val="left"/>
      <w:pPr>
        <w:ind w:left="214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6">
    <w:multiLevelType w:val="hybridMultilevel"/>
    <w:lvl w:ilvl="0">
      <w:start w:val="3"/>
      <w:numFmt w:val="decimal"/>
      <w:isLgl w:val="false"/>
      <w:suff w:val="tab"/>
      <w:lvlText w:val="%1."/>
      <w:lvlJc w:val="left"/>
      <w:pPr>
        <w:ind w:left="360" w:hanging="360"/>
      </w:pPr>
      <w:rPr>
        <w:rFonts w:hint="default"/>
      </w:rPr>
    </w:lvl>
    <w:lvl w:ilvl="1">
      <w:start w:val="8"/>
      <w:numFmt w:val="decimal"/>
      <w:isLgl w:val="false"/>
      <w:suff w:val="tab"/>
      <w:lvlText w:val="%1.%2."/>
      <w:lvlJc w:val="left"/>
      <w:pPr>
        <w:ind w:left="928" w:hanging="360"/>
      </w:pPr>
      <w:rPr>
        <w:rFonts w:hint="default"/>
      </w:rPr>
    </w:lvl>
    <w:lvl w:ilvl="2">
      <w:start w:val="3"/>
      <w:numFmt w:val="decimal"/>
      <w:isLgl w:val="false"/>
      <w:suff w:val="tab"/>
      <w:lvlText w:val="%3.8.1"/>
      <w:lvlJc w:val="left"/>
      <w:pPr>
        <w:ind w:left="2160" w:hanging="720"/>
      </w:pPr>
      <w:rPr>
        <w:rFonts w:hint="default"/>
      </w:rPr>
    </w:lvl>
    <w:lvl w:ilvl="3">
      <w:start w:val="3"/>
      <w:numFmt w:val="decimal"/>
      <w:isLgl w:val="false"/>
      <w:suff w:val="tab"/>
      <w:lvlText w:val="%4.8.1.2."/>
      <w:lvlJc w:val="left"/>
      <w:pPr>
        <w:ind w:left="2880" w:hanging="720"/>
      </w:pPr>
      <w:rPr>
        <w:rFonts w:hint="default"/>
      </w:rPr>
    </w:lvl>
    <w:lvl w:ilvl="4">
      <w:start w:val="1"/>
      <w:numFmt w:val="decimal"/>
      <w:isLgl w:val="false"/>
      <w:suff w:val="tab"/>
      <w:lvlText w:val="%1.%2.%3.%4.%5."/>
      <w:lvlJc w:val="left"/>
      <w:pPr>
        <w:ind w:left="3960" w:hanging="1080"/>
      </w:pPr>
      <w:rPr>
        <w:rFonts w:hint="default"/>
      </w:rPr>
    </w:lvl>
    <w:lvl w:ilvl="5">
      <w:start w:val="1"/>
      <w:numFmt w:val="decimal"/>
      <w:isLgl w:val="false"/>
      <w:suff w:val="tab"/>
      <w:lvlText w:val="%1.%2.%3.%4.%5.%6."/>
      <w:lvlJc w:val="left"/>
      <w:pPr>
        <w:ind w:left="4680" w:hanging="1080"/>
      </w:pPr>
      <w:rPr>
        <w:rFonts w:hint="default"/>
      </w:rPr>
    </w:lvl>
    <w:lvl w:ilvl="6">
      <w:start w:val="1"/>
      <w:numFmt w:val="decimal"/>
      <w:isLgl w:val="false"/>
      <w:suff w:val="tab"/>
      <w:lvlText w:val="%1.%2.%3.%4.%5.%6.%7."/>
      <w:lvlJc w:val="left"/>
      <w:pPr>
        <w:ind w:left="5760" w:hanging="1440"/>
      </w:pPr>
      <w:rPr>
        <w:rFonts w:hint="default"/>
      </w:rPr>
    </w:lvl>
    <w:lvl w:ilvl="7">
      <w:start w:val="1"/>
      <w:numFmt w:val="decimal"/>
      <w:isLgl w:val="false"/>
      <w:suff w:val="tab"/>
      <w:lvlText w:val="%1.%2.%3.%4.%5.%6.%7.%8."/>
      <w:lvlJc w:val="left"/>
      <w:pPr>
        <w:ind w:left="6480" w:hanging="1440"/>
      </w:pPr>
      <w:rPr>
        <w:rFonts w:hint="default"/>
      </w:rPr>
    </w:lvl>
    <w:lvl w:ilvl="8">
      <w:start w:val="1"/>
      <w:numFmt w:val="decimal"/>
      <w:isLgl w:val="false"/>
      <w:suff w:val="tab"/>
      <w:lvlText w:val="%1.%2.%3.%4.%5.%6.%7.%8.%9."/>
      <w:lvlJc w:val="left"/>
      <w:pPr>
        <w:ind w:left="7560" w:hanging="1800"/>
      </w:pPr>
      <w:rPr>
        <w:rFonts w:hint="default"/>
      </w:rPr>
    </w:lvl>
  </w:abstractNum>
  <w:abstractNum w:abstractNumId="27">
    <w:multiLevelType w:val="hybridMultilevel"/>
    <w:lvl w:ilvl="0">
      <w:start w:val="3"/>
      <w:numFmt w:val="decimal"/>
      <w:isLgl w:val="false"/>
      <w:suff w:val="tab"/>
      <w:lvlText w:val="%1."/>
      <w:lvlJc w:val="left"/>
      <w:pPr>
        <w:ind w:left="360" w:hanging="360"/>
      </w:pPr>
      <w:rPr>
        <w:rFonts w:hint="default"/>
        <w:b/>
      </w:rPr>
    </w:lvl>
    <w:lvl w:ilvl="1">
      <w:start w:val="1"/>
      <w:numFmt w:val="decimal"/>
      <w:isLgl w:val="false"/>
      <w:suff w:val="tab"/>
      <w:lvlText w:val="%1.%2."/>
      <w:lvlJc w:val="left"/>
      <w:pPr>
        <w:ind w:left="1440" w:hanging="360"/>
      </w:pPr>
      <w:rPr>
        <w:rFonts w:hint="default" w:ascii="Times New Roman" w:hAnsi="Times New Roman" w:cs="Times New Roman"/>
        <w:i w:val="0"/>
        <w:sz w:val="24"/>
        <w:szCs w:val="24"/>
      </w:rPr>
    </w:lvl>
    <w:lvl w:ilvl="2">
      <w:start w:val="1"/>
      <w:numFmt w:val="decimal"/>
      <w:isLgl w:val="false"/>
      <w:suff w:val="tab"/>
      <w:lvlText w:val="%1.%2.%3."/>
      <w:lvlJc w:val="left"/>
      <w:pPr>
        <w:ind w:left="2880" w:hanging="720"/>
      </w:pPr>
      <w:rPr>
        <w:rFonts w:hint="default"/>
      </w:rPr>
    </w:lvl>
    <w:lvl w:ilvl="3">
      <w:start w:val="1"/>
      <w:numFmt w:val="decimal"/>
      <w:isLgl w:val="false"/>
      <w:suff w:val="tab"/>
      <w:lvlText w:val="%1.%2.%3.%4."/>
      <w:lvlJc w:val="left"/>
      <w:pPr>
        <w:ind w:left="3960" w:hanging="720"/>
      </w:pPr>
      <w:rPr>
        <w:rFonts w:hint="default"/>
      </w:rPr>
    </w:lvl>
    <w:lvl w:ilvl="4">
      <w:start w:val="1"/>
      <w:numFmt w:val="decimal"/>
      <w:isLgl w:val="false"/>
      <w:suff w:val="tab"/>
      <w:lvlText w:val="%1.%2.%3.%4.%5."/>
      <w:lvlJc w:val="left"/>
      <w:pPr>
        <w:ind w:left="5400" w:hanging="1080"/>
      </w:pPr>
      <w:rPr>
        <w:rFonts w:hint="default"/>
      </w:rPr>
    </w:lvl>
    <w:lvl w:ilvl="5">
      <w:start w:val="1"/>
      <w:numFmt w:val="decimal"/>
      <w:isLgl w:val="false"/>
      <w:suff w:val="tab"/>
      <w:lvlText w:val="%1.%2.%3.%4.%5.%6."/>
      <w:lvlJc w:val="left"/>
      <w:pPr>
        <w:ind w:left="6480" w:hanging="1080"/>
      </w:pPr>
      <w:rPr>
        <w:rFonts w:hint="default"/>
      </w:rPr>
    </w:lvl>
    <w:lvl w:ilvl="6">
      <w:start w:val="1"/>
      <w:numFmt w:val="decimal"/>
      <w:isLgl w:val="false"/>
      <w:suff w:val="tab"/>
      <w:lvlText w:val="%1.%2.%3.%4.%5.%6.%7."/>
      <w:lvlJc w:val="left"/>
      <w:pPr>
        <w:ind w:left="7920" w:hanging="1440"/>
      </w:pPr>
      <w:rPr>
        <w:rFonts w:hint="default"/>
      </w:rPr>
    </w:lvl>
    <w:lvl w:ilvl="7">
      <w:start w:val="1"/>
      <w:numFmt w:val="decimal"/>
      <w:isLgl w:val="false"/>
      <w:suff w:val="tab"/>
      <w:lvlText w:val="%1.%2.%3.%4.%5.%6.%7.%8."/>
      <w:lvlJc w:val="left"/>
      <w:pPr>
        <w:ind w:left="9000" w:hanging="1440"/>
      </w:pPr>
      <w:rPr>
        <w:rFonts w:hint="default"/>
      </w:rPr>
    </w:lvl>
    <w:lvl w:ilvl="8">
      <w:start w:val="1"/>
      <w:numFmt w:val="decimal"/>
      <w:isLgl w:val="false"/>
      <w:suff w:val="tab"/>
      <w:lvlText w:val="%1.%2.%3.%4.%5.%6.%7.%8.%9."/>
      <w:lvlJc w:val="left"/>
      <w:pPr>
        <w:ind w:left="10440" w:hanging="1800"/>
      </w:pPr>
      <w:rPr>
        <w:rFonts w:hint="default"/>
      </w:rPr>
    </w:lvl>
  </w:abstractNum>
  <w:abstractNum w:abstractNumId="28">
    <w:multiLevelType w:val="hybridMultilevel"/>
    <w:lvl w:ilvl="0">
      <w:start w:val="4"/>
      <w:numFmt w:val="decimal"/>
      <w:isLgl w:val="false"/>
      <w:suff w:val="tab"/>
      <w:lvlText w:val="%1."/>
      <w:lvlJc w:val="left"/>
      <w:pPr>
        <w:ind w:left="360" w:hanging="360"/>
      </w:pPr>
      <w:rPr>
        <w:rFonts w:hint="default"/>
      </w:rPr>
    </w:lvl>
    <w:lvl w:ilvl="1">
      <w:start w:val="1"/>
      <w:numFmt w:val="decimal"/>
      <w:isLgl w:val="false"/>
      <w:suff w:val="tab"/>
      <w:lvlText w:val="%1.%2."/>
      <w:lvlJc w:val="left"/>
      <w:pPr>
        <w:ind w:left="1068" w:hanging="360"/>
      </w:pPr>
      <w:rPr>
        <w:rFonts w:hint="default"/>
      </w:rPr>
    </w:lvl>
    <w:lvl w:ilvl="2">
      <w:start w:val="1"/>
      <w:numFmt w:val="decimal"/>
      <w:isLgl w:val="false"/>
      <w:suff w:val="tab"/>
      <w:lvlText w:val="%1.%2.%3."/>
      <w:lvlJc w:val="left"/>
      <w:pPr>
        <w:ind w:left="2136" w:hanging="720"/>
      </w:pPr>
      <w:rPr>
        <w:rFonts w:hint="default"/>
      </w:rPr>
    </w:lvl>
    <w:lvl w:ilvl="3">
      <w:start w:val="1"/>
      <w:numFmt w:val="decimal"/>
      <w:isLgl w:val="false"/>
      <w:suff w:val="tab"/>
      <w:lvlText w:val="%1.%2.%3.%4."/>
      <w:lvlJc w:val="left"/>
      <w:pPr>
        <w:ind w:left="2844" w:hanging="720"/>
      </w:pPr>
      <w:rPr>
        <w:rFonts w:hint="default"/>
      </w:rPr>
    </w:lvl>
    <w:lvl w:ilvl="4">
      <w:start w:val="1"/>
      <w:numFmt w:val="decimal"/>
      <w:isLgl w:val="false"/>
      <w:suff w:val="tab"/>
      <w:lvlText w:val="%1.%2.%3.%4.%5."/>
      <w:lvlJc w:val="left"/>
      <w:pPr>
        <w:ind w:left="3912" w:hanging="1080"/>
      </w:pPr>
      <w:rPr>
        <w:rFonts w:hint="default"/>
      </w:rPr>
    </w:lvl>
    <w:lvl w:ilvl="5">
      <w:start w:val="1"/>
      <w:numFmt w:val="decimal"/>
      <w:isLgl w:val="false"/>
      <w:suff w:val="tab"/>
      <w:lvlText w:val="%1.%2.%3.%4.%5.%6."/>
      <w:lvlJc w:val="left"/>
      <w:pPr>
        <w:ind w:left="4620" w:hanging="1080"/>
      </w:pPr>
      <w:rPr>
        <w:rFonts w:hint="default"/>
      </w:rPr>
    </w:lvl>
    <w:lvl w:ilvl="6">
      <w:start w:val="1"/>
      <w:numFmt w:val="decimal"/>
      <w:isLgl w:val="false"/>
      <w:suff w:val="tab"/>
      <w:lvlText w:val="%1.%2.%3.%4.%5.%6.%7."/>
      <w:lvlJc w:val="left"/>
      <w:pPr>
        <w:ind w:left="5688" w:hanging="1440"/>
      </w:pPr>
      <w:rPr>
        <w:rFonts w:hint="default"/>
      </w:rPr>
    </w:lvl>
    <w:lvl w:ilvl="7">
      <w:start w:val="1"/>
      <w:numFmt w:val="decimal"/>
      <w:isLgl w:val="false"/>
      <w:suff w:val="tab"/>
      <w:lvlText w:val="%1.%2.%3.%4.%5.%6.%7.%8."/>
      <w:lvlJc w:val="left"/>
      <w:pPr>
        <w:ind w:left="6396" w:hanging="1440"/>
      </w:pPr>
      <w:rPr>
        <w:rFonts w:hint="default"/>
      </w:rPr>
    </w:lvl>
    <w:lvl w:ilvl="8">
      <w:start w:val="1"/>
      <w:numFmt w:val="decimal"/>
      <w:isLgl w:val="false"/>
      <w:suff w:val="tab"/>
      <w:lvlText w:val="%1.%2.%3.%4.%5.%6.%7.%8.%9."/>
      <w:lvlJc w:val="left"/>
      <w:pPr>
        <w:ind w:left="7464" w:hanging="1800"/>
      </w:pPr>
      <w:rPr>
        <w:rFonts w:hint="default"/>
      </w:rPr>
    </w:lvl>
  </w:abstractNum>
  <w:abstractNum w:abstractNumId="29">
    <w:multiLevelType w:val="hybridMultilevel"/>
    <w:lvl w:ilvl="0">
      <w:start w:val="3"/>
      <w:numFmt w:val="decimal"/>
      <w:isLgl w:val="false"/>
      <w:suff w:val="tab"/>
      <w:lvlText w:val="%1."/>
      <w:lvlJc w:val="left"/>
      <w:pPr>
        <w:ind w:left="480" w:hanging="480"/>
      </w:pPr>
      <w:rPr>
        <w:rFonts w:hint="default"/>
        <w:sz w:val="24"/>
        <w:szCs w:val="24"/>
      </w:rPr>
    </w:lvl>
    <w:lvl w:ilvl="1">
      <w:start w:val="23"/>
      <w:numFmt w:val="decimal"/>
      <w:isLgl w:val="false"/>
      <w:suff w:val="tab"/>
      <w:lvlText w:val="%1.%2."/>
      <w:lvlJc w:val="left"/>
      <w:pPr>
        <w:ind w:left="1189" w:hanging="480"/>
      </w:pPr>
      <w:rPr>
        <w:rFonts w:hint="default"/>
      </w:rPr>
    </w:lvl>
    <w:lvl w:ilvl="2">
      <w:start w:val="1"/>
      <w:numFmt w:val="decimal"/>
      <w:isLgl w:val="false"/>
      <w:suff w:val="tab"/>
      <w:lvlText w:val="%1.%2.%3."/>
      <w:lvlJc w:val="left"/>
      <w:pPr>
        <w:ind w:left="2138" w:hanging="720"/>
      </w:pPr>
      <w:rPr>
        <w:rFonts w:hint="default"/>
      </w:rPr>
    </w:lvl>
    <w:lvl w:ilvl="3">
      <w:start w:val="1"/>
      <w:numFmt w:val="decimal"/>
      <w:isLgl w:val="false"/>
      <w:suff w:val="tab"/>
      <w:lvlText w:val="%1.%2.%3.%4."/>
      <w:lvlJc w:val="left"/>
      <w:pPr>
        <w:ind w:left="2847" w:hanging="720"/>
      </w:pPr>
      <w:rPr>
        <w:rFonts w:hint="default"/>
      </w:rPr>
    </w:lvl>
    <w:lvl w:ilvl="4">
      <w:start w:val="1"/>
      <w:numFmt w:val="decimal"/>
      <w:isLgl w:val="false"/>
      <w:suff w:val="tab"/>
      <w:lvlText w:val="%1.%2.%3.%4.%5."/>
      <w:lvlJc w:val="left"/>
      <w:pPr>
        <w:ind w:left="3916" w:hanging="1080"/>
      </w:pPr>
      <w:rPr>
        <w:rFonts w:hint="default"/>
      </w:rPr>
    </w:lvl>
    <w:lvl w:ilvl="5">
      <w:start w:val="1"/>
      <w:numFmt w:val="decimal"/>
      <w:isLgl w:val="false"/>
      <w:suff w:val="tab"/>
      <w:lvlText w:val="%1.%2.%3.%4.%5.%6."/>
      <w:lvlJc w:val="left"/>
      <w:pPr>
        <w:ind w:left="4625" w:hanging="1080"/>
      </w:pPr>
      <w:rPr>
        <w:rFonts w:hint="default"/>
      </w:rPr>
    </w:lvl>
    <w:lvl w:ilvl="6">
      <w:start w:val="1"/>
      <w:numFmt w:val="decimal"/>
      <w:isLgl w:val="false"/>
      <w:suff w:val="tab"/>
      <w:lvlText w:val="%1.%2.%3.%4.%5.%6.%7."/>
      <w:lvlJc w:val="left"/>
      <w:pPr>
        <w:ind w:left="5694" w:hanging="1440"/>
      </w:pPr>
      <w:rPr>
        <w:rFonts w:hint="default"/>
      </w:rPr>
    </w:lvl>
    <w:lvl w:ilvl="7">
      <w:start w:val="1"/>
      <w:numFmt w:val="decimal"/>
      <w:isLgl w:val="false"/>
      <w:suff w:val="tab"/>
      <w:lvlText w:val="%1.%2.%3.%4.%5.%6.%7.%8."/>
      <w:lvlJc w:val="left"/>
      <w:pPr>
        <w:ind w:left="6403" w:hanging="1440"/>
      </w:pPr>
      <w:rPr>
        <w:rFonts w:hint="default"/>
      </w:rPr>
    </w:lvl>
    <w:lvl w:ilvl="8">
      <w:start w:val="1"/>
      <w:numFmt w:val="decimal"/>
      <w:isLgl w:val="false"/>
      <w:suff w:val="tab"/>
      <w:lvlText w:val="%1.%2.%3.%4.%5.%6.%7.%8.%9."/>
      <w:lvlJc w:val="left"/>
      <w:pPr>
        <w:ind w:left="7472" w:hanging="1800"/>
      </w:pPr>
      <w:rPr>
        <w:rFonts w:hint="default"/>
      </w:rPr>
    </w:lvl>
  </w:abstractNum>
  <w:abstractNum w:abstractNumId="30">
    <w:multiLevelType w:val="hybridMultilevel"/>
    <w:lvl w:ilvl="0">
      <w:start w:val="6"/>
      <w:numFmt w:val="decimal"/>
      <w:isLgl w:val="false"/>
      <w:suff w:val="tab"/>
      <w:lvlText w:val="%1."/>
      <w:lvlJc w:val="left"/>
      <w:pPr>
        <w:ind w:left="720" w:hanging="360"/>
        <w:tabs>
          <w:tab w:val="num" w:pos="720" w:leader="none"/>
        </w:tabs>
      </w:pPr>
      <w:rPr>
        <w:rFonts w:hint="default"/>
        <w:b/>
      </w:rPr>
    </w:lvl>
    <w:lvl w:ilvl="1">
      <w:start w:val="2"/>
      <w:numFmt w:val="decimal"/>
      <w:isLgl w:val="false"/>
      <w:suff w:val="tab"/>
      <w:lvlText w:val="%1.%2."/>
      <w:lvlJc w:val="left"/>
      <w:pPr>
        <w:ind w:left="1070" w:hanging="360"/>
        <w:tabs>
          <w:tab w:val="num" w:pos="1070" w:leader="none"/>
        </w:tabs>
      </w:pPr>
      <w:rPr>
        <w:rFonts w:hint="default"/>
      </w:rPr>
    </w:lvl>
    <w:lvl w:ilvl="2">
      <w:start w:val="1"/>
      <w:numFmt w:val="decimal"/>
      <w:isLgl w:val="false"/>
      <w:suff w:val="tab"/>
      <w:lvlText w:val="%1.%2.%3."/>
      <w:lvlJc w:val="left"/>
      <w:pPr>
        <w:ind w:left="1440" w:hanging="360"/>
        <w:tabs>
          <w:tab w:val="num" w:pos="1440" w:leader="none"/>
        </w:tabs>
      </w:pPr>
      <w:rPr>
        <w:rFonts w:hint="default" w:ascii="Times New Roman" w:hAnsi="Times New Roman" w:cs="Times New Roman"/>
      </w:rPr>
    </w:lvl>
    <w:lvl w:ilvl="3">
      <w:start w:val="1"/>
      <w:numFmt w:val="decimal"/>
      <w:isLgl w:val="false"/>
      <w:suff w:val="tab"/>
      <w:lvlText w:val="%1.%2.%3.%4."/>
      <w:lvlJc w:val="left"/>
      <w:pPr>
        <w:ind w:left="1800" w:hanging="360"/>
        <w:tabs>
          <w:tab w:val="num" w:pos="1800" w:leader="none"/>
        </w:tabs>
      </w:pPr>
      <w:rPr>
        <w:rFonts w:hint="default"/>
      </w:rPr>
    </w:lvl>
    <w:lvl w:ilvl="4">
      <w:start w:val="1"/>
      <w:numFmt w:val="decimal"/>
      <w:isLgl w:val="false"/>
      <w:suff w:val="tab"/>
      <w:lvlText w:val="%1.%2.%3.%4.%5."/>
      <w:lvlJc w:val="left"/>
      <w:pPr>
        <w:ind w:left="2160" w:hanging="360"/>
        <w:tabs>
          <w:tab w:val="num" w:pos="2160" w:leader="none"/>
        </w:tabs>
      </w:pPr>
      <w:rPr>
        <w:rFonts w:hint="default"/>
      </w:rPr>
    </w:lvl>
    <w:lvl w:ilvl="5">
      <w:start w:val="1"/>
      <w:numFmt w:val="decimal"/>
      <w:isLgl w:val="false"/>
      <w:suff w:val="tab"/>
      <w:lvlText w:val="%1.%2.%3.%4.%5.%6."/>
      <w:lvlJc w:val="left"/>
      <w:pPr>
        <w:ind w:left="2520" w:hanging="360"/>
        <w:tabs>
          <w:tab w:val="num" w:pos="2520" w:leader="none"/>
        </w:tabs>
      </w:pPr>
      <w:rPr>
        <w:rFonts w:hint="default"/>
      </w:rPr>
    </w:lvl>
    <w:lvl w:ilvl="6">
      <w:start w:val="1"/>
      <w:numFmt w:val="decimal"/>
      <w:isLgl w:val="false"/>
      <w:suff w:val="tab"/>
      <w:lvlText w:val="%1.%2.%3.%4.%5.%6.%7."/>
      <w:lvlJc w:val="left"/>
      <w:pPr>
        <w:ind w:left="2880" w:hanging="360"/>
        <w:tabs>
          <w:tab w:val="num" w:pos="2880" w:leader="none"/>
        </w:tabs>
      </w:pPr>
      <w:rPr>
        <w:rFonts w:hint="default"/>
      </w:rPr>
    </w:lvl>
    <w:lvl w:ilvl="7">
      <w:start w:val="1"/>
      <w:numFmt w:val="decimal"/>
      <w:isLgl w:val="false"/>
      <w:suff w:val="tab"/>
      <w:lvlText w:val="%1.%2.%3.%4.%5.%6.%7.%8."/>
      <w:lvlJc w:val="left"/>
      <w:pPr>
        <w:ind w:left="3240" w:hanging="360"/>
        <w:tabs>
          <w:tab w:val="num" w:pos="3240" w:leader="none"/>
        </w:tabs>
      </w:pPr>
      <w:rPr>
        <w:rFonts w:hint="default"/>
      </w:rPr>
    </w:lvl>
    <w:lvl w:ilvl="8">
      <w:start w:val="1"/>
      <w:numFmt w:val="decimal"/>
      <w:isLgl w:val="false"/>
      <w:suff w:val="tab"/>
      <w:lvlText w:val="%1.%2.%3.%4.%5.%6.%7.%8.%9."/>
      <w:lvlJc w:val="left"/>
      <w:pPr>
        <w:ind w:left="3600" w:hanging="360"/>
        <w:tabs>
          <w:tab w:val="num" w:pos="3600" w:leader="none"/>
        </w:tabs>
      </w:pPr>
      <w:rPr>
        <w:rFonts w:hint="default"/>
      </w:rPr>
    </w:lvl>
  </w:abstractNum>
  <w:abstractNum w:abstractNumId="31">
    <w:multiLevelType w:val="hybridMultilevel"/>
    <w:lvl w:ilvl="0">
      <w:start w:val="1"/>
      <w:numFmt w:val="bullet"/>
      <w:isLgl w:val="false"/>
      <w:suff w:val="tab"/>
      <w:lvlText w:val="*"/>
      <w:lvlJc w:val="left"/>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32">
    <w:multiLevelType w:val="hybridMultilevel"/>
    <w:lvl w:ilvl="0">
      <w:start w:val="5"/>
      <w:numFmt w:val="decimal"/>
      <w:isLgl w:val="false"/>
      <w:suff w:val="tab"/>
      <w:lvlText w:val="%1."/>
      <w:lvlJc w:val="left"/>
      <w:pPr>
        <w:ind w:left="480" w:hanging="480"/>
      </w:pPr>
      <w:rPr>
        <w:rFonts w:hint="default"/>
        <w:i/>
      </w:rPr>
    </w:lvl>
    <w:lvl w:ilvl="1">
      <w:start w:val="22"/>
      <w:numFmt w:val="decimal"/>
      <w:isLgl w:val="false"/>
      <w:suff w:val="tab"/>
      <w:lvlText w:val="%1.%2."/>
      <w:lvlJc w:val="left"/>
      <w:pPr>
        <w:ind w:left="1190" w:hanging="480"/>
      </w:pPr>
      <w:rPr>
        <w:rFonts w:hint="default"/>
        <w:i w:val="0"/>
      </w:rPr>
    </w:lvl>
    <w:lvl w:ilvl="2">
      <w:start w:val="1"/>
      <w:numFmt w:val="decimal"/>
      <w:isLgl w:val="false"/>
      <w:suff w:val="tab"/>
      <w:lvlText w:val="%1.%2.%3."/>
      <w:lvlJc w:val="left"/>
      <w:pPr>
        <w:ind w:left="1997" w:hanging="720"/>
      </w:pPr>
      <w:rPr>
        <w:rFonts w:hint="default"/>
        <w:i w:val="0"/>
      </w:rPr>
    </w:lvl>
    <w:lvl w:ilvl="3">
      <w:start w:val="1"/>
      <w:numFmt w:val="decimal"/>
      <w:isLgl w:val="false"/>
      <w:suff w:val="tab"/>
      <w:lvlText w:val="%1.%2.%3.%4."/>
      <w:lvlJc w:val="left"/>
      <w:pPr>
        <w:ind w:left="2850" w:hanging="720"/>
      </w:pPr>
      <w:rPr>
        <w:rFonts w:hint="default"/>
        <w:i/>
      </w:rPr>
    </w:lvl>
    <w:lvl w:ilvl="4">
      <w:start w:val="1"/>
      <w:numFmt w:val="decimal"/>
      <w:isLgl w:val="false"/>
      <w:suff w:val="tab"/>
      <w:lvlText w:val="%1.%2.%3.%4.%5."/>
      <w:lvlJc w:val="left"/>
      <w:pPr>
        <w:ind w:left="3920" w:hanging="1080"/>
      </w:pPr>
      <w:rPr>
        <w:rFonts w:hint="default"/>
        <w:i/>
      </w:rPr>
    </w:lvl>
    <w:lvl w:ilvl="5">
      <w:start w:val="1"/>
      <w:numFmt w:val="decimal"/>
      <w:isLgl w:val="false"/>
      <w:suff w:val="tab"/>
      <w:lvlText w:val="%1.%2.%3.%4.%5.%6."/>
      <w:lvlJc w:val="left"/>
      <w:pPr>
        <w:ind w:left="4630" w:hanging="1080"/>
      </w:pPr>
      <w:rPr>
        <w:rFonts w:hint="default"/>
        <w:i/>
      </w:rPr>
    </w:lvl>
    <w:lvl w:ilvl="6">
      <w:start w:val="1"/>
      <w:numFmt w:val="decimal"/>
      <w:isLgl w:val="false"/>
      <w:suff w:val="tab"/>
      <w:lvlText w:val="%1.%2.%3.%4.%5.%6.%7."/>
      <w:lvlJc w:val="left"/>
      <w:pPr>
        <w:ind w:left="5700" w:hanging="1440"/>
      </w:pPr>
      <w:rPr>
        <w:rFonts w:hint="default"/>
        <w:i/>
      </w:rPr>
    </w:lvl>
    <w:lvl w:ilvl="7">
      <w:start w:val="1"/>
      <w:numFmt w:val="decimal"/>
      <w:isLgl w:val="false"/>
      <w:suff w:val="tab"/>
      <w:lvlText w:val="%1.%2.%3.%4.%5.%6.%7.%8."/>
      <w:lvlJc w:val="left"/>
      <w:pPr>
        <w:ind w:left="6410" w:hanging="1440"/>
      </w:pPr>
      <w:rPr>
        <w:rFonts w:hint="default"/>
        <w:i/>
      </w:rPr>
    </w:lvl>
    <w:lvl w:ilvl="8">
      <w:start w:val="1"/>
      <w:numFmt w:val="decimal"/>
      <w:isLgl w:val="false"/>
      <w:suff w:val="tab"/>
      <w:lvlText w:val="%1.%2.%3.%4.%5.%6.%7.%8.%9."/>
      <w:lvlJc w:val="left"/>
      <w:pPr>
        <w:ind w:left="7480" w:hanging="1800"/>
      </w:pPr>
      <w:rPr>
        <w:rFonts w:hint="default"/>
        <w:i/>
      </w:rPr>
    </w:lvl>
  </w:abstractNum>
  <w:abstractNum w:abstractNumId="33">
    <w:multiLevelType w:val="hybridMultilevel"/>
    <w:lvl w:ilvl="0">
      <w:start w:val="1"/>
      <w:numFmt w:val="bullet"/>
      <w:isLgl w:val="false"/>
      <w:suff w:val="tab"/>
      <w:lvlText w:val=""/>
      <w:lvlJc w:val="left"/>
      <w:pPr>
        <w:ind w:left="720" w:hanging="360"/>
        <w:tabs>
          <w:tab w:val="num" w:pos="720" w:leader="none"/>
        </w:tabs>
      </w:pPr>
      <w:rPr>
        <w:rFonts w:hint="default" w:ascii="Symbol" w:hAnsi="Symbol"/>
      </w:rPr>
    </w:lvl>
    <w:lvl w:ilvl="1">
      <w:start w:val="1"/>
      <w:numFmt w:val="bullet"/>
      <w:isLgl w:val="false"/>
      <w:suff w:val="tab"/>
      <w:lvlText w:val="o"/>
      <w:lvlJc w:val="left"/>
      <w:pPr>
        <w:ind w:left="1440" w:hanging="360"/>
        <w:tabs>
          <w:tab w:val="num" w:pos="1440" w:leader="none"/>
        </w:tabs>
      </w:pPr>
      <w:rPr>
        <w:rFonts w:hint="default" w:ascii="Courier New" w:hAnsi="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34">
    <w:multiLevelType w:val="hybridMultilevel"/>
    <w:lvl w:ilvl="0">
      <w:start w:val="17"/>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5">
    <w:multiLevelType w:val="hybridMultilevel"/>
    <w:lvl w:ilvl="0">
      <w:start w:val="8"/>
      <w:numFmt w:val="decimal"/>
      <w:isLgl w:val="false"/>
      <w:suff w:val="tab"/>
      <w:lvlText w:val="%1."/>
      <w:lvlJc w:val="left"/>
      <w:pPr>
        <w:ind w:left="480" w:hanging="480"/>
      </w:pPr>
      <w:rPr>
        <w:rFonts w:hint="default"/>
      </w:rPr>
    </w:lvl>
    <w:lvl w:ilvl="1">
      <w:start w:val="17"/>
      <w:numFmt w:val="decimal"/>
      <w:isLgl w:val="false"/>
      <w:suff w:val="tab"/>
      <w:lvlText w:val="%1.%2."/>
      <w:lvlJc w:val="left"/>
      <w:pPr>
        <w:ind w:left="1048" w:hanging="480"/>
      </w:pPr>
      <w:rPr>
        <w:rFonts w:hint="default"/>
      </w:rPr>
    </w:lvl>
    <w:lvl w:ilvl="2">
      <w:start w:val="1"/>
      <w:numFmt w:val="decimal"/>
      <w:isLgl w:val="false"/>
      <w:suff w:val="tab"/>
      <w:lvlText w:val="%1.%2.%3."/>
      <w:lvlJc w:val="left"/>
      <w:pPr>
        <w:ind w:left="720" w:hanging="720"/>
      </w:pPr>
      <w:rPr>
        <w:rFonts w:hint="default"/>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36">
    <w:multiLevelType w:val="hybridMultilevel"/>
    <w:lvl w:ilvl="0">
      <w:start w:val="4"/>
      <w:numFmt w:val="decimal"/>
      <w:isLgl w:val="false"/>
      <w:suff w:val="tab"/>
      <w:lvlText w:val="%1."/>
      <w:lvlJc w:val="left"/>
      <w:pPr>
        <w:ind w:left="360" w:hanging="360"/>
        <w:tabs>
          <w:tab w:val="num" w:pos="360" w:leader="none"/>
        </w:tabs>
      </w:pPr>
      <w:rPr>
        <w:sz w:val="24"/>
        <w:szCs w:val="29"/>
      </w:rPr>
    </w:lvl>
    <w:lvl w:ilvl="1">
      <w:start w:val="2"/>
      <w:numFmt w:val="decimal"/>
      <w:isLgl w:val="false"/>
      <w:suff w:val="tab"/>
      <w:lvlText w:val="%1.%2."/>
      <w:lvlJc w:val="left"/>
      <w:pPr>
        <w:ind w:left="1080" w:hanging="360"/>
        <w:tabs>
          <w:tab w:val="num" w:pos="1080" w:leader="none"/>
        </w:tabs>
      </w:pPr>
      <w:rPr>
        <w:sz w:val="24"/>
        <w:szCs w:val="29"/>
      </w:rPr>
    </w:lvl>
    <w:lvl w:ilvl="2">
      <w:start w:val="1"/>
      <w:numFmt w:val="decimal"/>
      <w:isLgl w:val="false"/>
      <w:suff w:val="tab"/>
      <w:lvlText w:val="%1.%2.%3."/>
      <w:lvlJc w:val="left"/>
      <w:pPr>
        <w:ind w:left="1440" w:hanging="360"/>
        <w:tabs>
          <w:tab w:val="num" w:pos="1440" w:leader="none"/>
        </w:tabs>
      </w:p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37">
    <w:multiLevelType w:val="hybridMultilevel"/>
    <w:lvl w:ilvl="0">
      <w:start w:val="3"/>
      <w:numFmt w:val="decimal"/>
      <w:isLgl w:val="false"/>
      <w:suff w:val="tab"/>
      <w:lvlText w:val="%1."/>
      <w:lvlJc w:val="left"/>
      <w:pPr>
        <w:ind w:left="360" w:hanging="360"/>
      </w:pPr>
      <w:rPr>
        <w:rFonts w:hint="default"/>
        <w:b/>
      </w:rPr>
    </w:lvl>
    <w:lvl w:ilvl="1">
      <w:start w:val="1"/>
      <w:numFmt w:val="decimal"/>
      <w:isLgl w:val="false"/>
      <w:suff w:val="tab"/>
      <w:lvlText w:val="%1.%2."/>
      <w:lvlJc w:val="left"/>
      <w:pPr>
        <w:ind w:left="1440" w:hanging="360"/>
      </w:pPr>
      <w:rPr>
        <w:rFonts w:hint="default"/>
      </w:rPr>
    </w:lvl>
    <w:lvl w:ilvl="2">
      <w:start w:val="1"/>
      <w:numFmt w:val="decimal"/>
      <w:isLgl w:val="false"/>
      <w:suff w:val="tab"/>
      <w:lvlText w:val="%1.%2.%3."/>
      <w:lvlJc w:val="left"/>
      <w:pPr>
        <w:ind w:left="2880" w:hanging="720"/>
      </w:pPr>
      <w:rPr>
        <w:rFonts w:hint="default"/>
      </w:rPr>
    </w:lvl>
    <w:lvl w:ilvl="3">
      <w:start w:val="1"/>
      <w:numFmt w:val="decimal"/>
      <w:isLgl w:val="false"/>
      <w:suff w:val="tab"/>
      <w:lvlText w:val="%1.%2.%3.%4."/>
      <w:lvlJc w:val="left"/>
      <w:pPr>
        <w:ind w:left="3960" w:hanging="720"/>
      </w:pPr>
      <w:rPr>
        <w:rFonts w:hint="default"/>
      </w:rPr>
    </w:lvl>
    <w:lvl w:ilvl="4">
      <w:start w:val="1"/>
      <w:numFmt w:val="decimal"/>
      <w:isLgl w:val="false"/>
      <w:suff w:val="tab"/>
      <w:lvlText w:val="%1.%2.%3.%4.%5."/>
      <w:lvlJc w:val="left"/>
      <w:pPr>
        <w:ind w:left="5400" w:hanging="1080"/>
      </w:pPr>
      <w:rPr>
        <w:rFonts w:hint="default"/>
      </w:rPr>
    </w:lvl>
    <w:lvl w:ilvl="5">
      <w:start w:val="1"/>
      <w:numFmt w:val="decimal"/>
      <w:isLgl w:val="false"/>
      <w:suff w:val="tab"/>
      <w:lvlText w:val="%1.%2.%3.%4.%5.%6."/>
      <w:lvlJc w:val="left"/>
      <w:pPr>
        <w:ind w:left="6480" w:hanging="1080"/>
      </w:pPr>
      <w:rPr>
        <w:rFonts w:hint="default"/>
      </w:rPr>
    </w:lvl>
    <w:lvl w:ilvl="6">
      <w:start w:val="1"/>
      <w:numFmt w:val="decimal"/>
      <w:isLgl w:val="false"/>
      <w:suff w:val="tab"/>
      <w:lvlText w:val="%1.%2.%3.%4.%5.%6.%7."/>
      <w:lvlJc w:val="left"/>
      <w:pPr>
        <w:ind w:left="7920" w:hanging="1440"/>
      </w:pPr>
      <w:rPr>
        <w:rFonts w:hint="default"/>
      </w:rPr>
    </w:lvl>
    <w:lvl w:ilvl="7">
      <w:start w:val="1"/>
      <w:numFmt w:val="decimal"/>
      <w:isLgl w:val="false"/>
      <w:suff w:val="tab"/>
      <w:lvlText w:val="%1.%2.%3.%4.%5.%6.%7.%8."/>
      <w:lvlJc w:val="left"/>
      <w:pPr>
        <w:ind w:left="9000" w:hanging="1440"/>
      </w:pPr>
      <w:rPr>
        <w:rFonts w:hint="default"/>
      </w:rPr>
    </w:lvl>
    <w:lvl w:ilvl="8">
      <w:start w:val="1"/>
      <w:numFmt w:val="decimal"/>
      <w:isLgl w:val="false"/>
      <w:suff w:val="tab"/>
      <w:lvlText w:val="%1.%2.%3.%4.%5.%6.%7.%8.%9."/>
      <w:lvlJc w:val="left"/>
      <w:pPr>
        <w:ind w:left="10440" w:hanging="1800"/>
      </w:pPr>
      <w:rPr>
        <w:rFonts w:hint="default"/>
      </w:rPr>
    </w:lvl>
  </w:abstractNum>
  <w:abstractNum w:abstractNumId="38">
    <w:multiLevelType w:val="hybridMultilevel"/>
    <w:lvl w:ilvl="0">
      <w:start w:val="4"/>
      <w:numFmt w:val="decimal"/>
      <w:isLgl w:val="false"/>
      <w:suff w:val="tab"/>
      <w:lvlText w:val="%1."/>
      <w:lvlJc w:val="left"/>
      <w:pPr>
        <w:ind w:left="360" w:hanging="360"/>
      </w:pPr>
      <w:rPr>
        <w:rFonts w:hint="default"/>
        <w:color w:val="auto"/>
      </w:rPr>
    </w:lvl>
    <w:lvl w:ilvl="1">
      <w:start w:val="3"/>
      <w:numFmt w:val="decimal"/>
      <w:isLgl w:val="false"/>
      <w:suff w:val="tab"/>
      <w:lvlText w:val="%1.%2."/>
      <w:lvlJc w:val="left"/>
      <w:pPr>
        <w:ind w:left="720" w:hanging="360"/>
      </w:pPr>
      <w:rPr>
        <w:rFonts w:hint="default" w:ascii="Times New Roman" w:hAnsi="Times New Roman" w:eastAsia="Times New Roman" w:cs="Times New Roman"/>
        <w:color w:val="auto"/>
        <w:sz w:val="24"/>
      </w:rPr>
    </w:lvl>
    <w:lvl w:ilvl="2">
      <w:start w:val="1"/>
      <w:numFmt w:val="decimal"/>
      <w:isLgl w:val="false"/>
      <w:suff w:val="tab"/>
      <w:lvlText w:val="%1.%2.%3."/>
      <w:lvlJc w:val="left"/>
      <w:pPr>
        <w:ind w:left="1440" w:hanging="720"/>
      </w:pPr>
      <w:rPr>
        <w:rFonts w:hint="default"/>
        <w:color w:val="auto"/>
      </w:rPr>
    </w:lvl>
    <w:lvl w:ilvl="3">
      <w:start w:val="1"/>
      <w:numFmt w:val="decimal"/>
      <w:isLgl w:val="false"/>
      <w:suff w:val="tab"/>
      <w:lvlText w:val="%1.%2.%3.%4."/>
      <w:lvlJc w:val="left"/>
      <w:pPr>
        <w:ind w:left="1800" w:hanging="720"/>
      </w:pPr>
      <w:rPr>
        <w:rFonts w:hint="default"/>
        <w:color w:val="auto"/>
      </w:rPr>
    </w:lvl>
    <w:lvl w:ilvl="4">
      <w:start w:val="1"/>
      <w:numFmt w:val="decimal"/>
      <w:isLgl w:val="false"/>
      <w:suff w:val="tab"/>
      <w:lvlText w:val="%1.%2.%3.%4.%5."/>
      <w:lvlJc w:val="left"/>
      <w:pPr>
        <w:ind w:left="2520" w:hanging="1080"/>
      </w:pPr>
      <w:rPr>
        <w:rFonts w:hint="default"/>
        <w:color w:val="auto"/>
      </w:rPr>
    </w:lvl>
    <w:lvl w:ilvl="5">
      <w:start w:val="1"/>
      <w:numFmt w:val="decimal"/>
      <w:isLgl w:val="false"/>
      <w:suff w:val="tab"/>
      <w:lvlText w:val="%1.%2.%3.%4.%5.%6."/>
      <w:lvlJc w:val="left"/>
      <w:pPr>
        <w:ind w:left="2880" w:hanging="1080"/>
      </w:pPr>
      <w:rPr>
        <w:rFonts w:hint="default"/>
        <w:color w:val="auto"/>
      </w:rPr>
    </w:lvl>
    <w:lvl w:ilvl="6">
      <w:start w:val="1"/>
      <w:numFmt w:val="decimal"/>
      <w:isLgl w:val="false"/>
      <w:suff w:val="tab"/>
      <w:lvlText w:val="%1.%2.%3.%4.%5.%6.%7."/>
      <w:lvlJc w:val="left"/>
      <w:pPr>
        <w:ind w:left="3600" w:hanging="1440"/>
      </w:pPr>
      <w:rPr>
        <w:rFonts w:hint="default"/>
        <w:color w:val="auto"/>
      </w:rPr>
    </w:lvl>
    <w:lvl w:ilvl="7">
      <w:start w:val="1"/>
      <w:numFmt w:val="decimal"/>
      <w:isLgl w:val="false"/>
      <w:suff w:val="tab"/>
      <w:lvlText w:val="%1.%2.%3.%4.%5.%6.%7.%8."/>
      <w:lvlJc w:val="left"/>
      <w:pPr>
        <w:ind w:left="3960" w:hanging="1440"/>
      </w:pPr>
      <w:rPr>
        <w:rFonts w:hint="default"/>
        <w:color w:val="auto"/>
      </w:rPr>
    </w:lvl>
    <w:lvl w:ilvl="8">
      <w:start w:val="1"/>
      <w:numFmt w:val="decimal"/>
      <w:isLgl w:val="false"/>
      <w:suff w:val="tab"/>
      <w:lvlText w:val="%1.%2.%3.%4.%5.%6.%7.%8.%9."/>
      <w:lvlJc w:val="left"/>
      <w:pPr>
        <w:ind w:left="4680" w:hanging="1800"/>
      </w:pPr>
      <w:rPr>
        <w:rFonts w:hint="default"/>
        <w:color w:val="auto"/>
      </w:rPr>
    </w:lvl>
  </w:abstractNum>
  <w:abstractNum w:abstractNumId="39">
    <w:multiLevelType w:val="hybridMultilevel"/>
    <w:lvl w:ilvl="0">
      <w:start w:val="4"/>
      <w:numFmt w:val="decimal"/>
      <w:isLgl w:val="false"/>
      <w:suff w:val="tab"/>
      <w:lvlText w:val="%1."/>
      <w:lvlJc w:val="left"/>
      <w:pPr>
        <w:ind w:left="360" w:hanging="360"/>
      </w:pPr>
      <w:rPr>
        <w:rFonts w:hint="default"/>
        <w:color w:val="auto"/>
      </w:rPr>
    </w:lvl>
    <w:lvl w:ilvl="1">
      <w:start w:val="3"/>
      <w:numFmt w:val="decimal"/>
      <w:isLgl w:val="false"/>
      <w:suff w:val="tab"/>
      <w:lvlText w:val="%1.%2."/>
      <w:lvlJc w:val="left"/>
      <w:pPr>
        <w:ind w:left="720" w:hanging="360"/>
      </w:pPr>
      <w:rPr>
        <w:rFonts w:hint="default" w:ascii="Times New Roman" w:hAnsi="Times New Roman" w:eastAsia="Times New Roman" w:cs="Times New Roman"/>
        <w:color w:val="auto"/>
        <w:sz w:val="24"/>
      </w:rPr>
    </w:lvl>
    <w:lvl w:ilvl="2">
      <w:start w:val="1"/>
      <w:numFmt w:val="decimal"/>
      <w:isLgl w:val="false"/>
      <w:suff w:val="tab"/>
      <w:lvlText w:val="%1.%2.%3."/>
      <w:lvlJc w:val="left"/>
      <w:pPr>
        <w:ind w:left="1440" w:hanging="720"/>
      </w:pPr>
      <w:rPr>
        <w:rFonts w:hint="default"/>
        <w:color w:val="auto"/>
      </w:rPr>
    </w:lvl>
    <w:lvl w:ilvl="3">
      <w:start w:val="1"/>
      <w:numFmt w:val="decimal"/>
      <w:isLgl w:val="false"/>
      <w:suff w:val="tab"/>
      <w:lvlText w:val="%1.%2.%3.%4."/>
      <w:lvlJc w:val="left"/>
      <w:pPr>
        <w:ind w:left="1800" w:hanging="720"/>
      </w:pPr>
      <w:rPr>
        <w:rFonts w:hint="default"/>
        <w:color w:val="auto"/>
      </w:rPr>
    </w:lvl>
    <w:lvl w:ilvl="4">
      <w:start w:val="1"/>
      <w:numFmt w:val="decimal"/>
      <w:isLgl w:val="false"/>
      <w:suff w:val="tab"/>
      <w:lvlText w:val="%1.%2.%3.%4.%5."/>
      <w:lvlJc w:val="left"/>
      <w:pPr>
        <w:ind w:left="2520" w:hanging="1080"/>
      </w:pPr>
      <w:rPr>
        <w:rFonts w:hint="default"/>
        <w:color w:val="auto"/>
      </w:rPr>
    </w:lvl>
    <w:lvl w:ilvl="5">
      <w:start w:val="1"/>
      <w:numFmt w:val="decimal"/>
      <w:isLgl w:val="false"/>
      <w:suff w:val="tab"/>
      <w:lvlText w:val="%1.%2.%3.%4.%5.%6."/>
      <w:lvlJc w:val="left"/>
      <w:pPr>
        <w:ind w:left="2880" w:hanging="1080"/>
      </w:pPr>
      <w:rPr>
        <w:rFonts w:hint="default"/>
        <w:color w:val="auto"/>
      </w:rPr>
    </w:lvl>
    <w:lvl w:ilvl="6">
      <w:start w:val="1"/>
      <w:numFmt w:val="decimal"/>
      <w:isLgl w:val="false"/>
      <w:suff w:val="tab"/>
      <w:lvlText w:val="%1.%2.%3.%4.%5.%6.%7."/>
      <w:lvlJc w:val="left"/>
      <w:pPr>
        <w:ind w:left="3600" w:hanging="1440"/>
      </w:pPr>
      <w:rPr>
        <w:rFonts w:hint="default"/>
        <w:color w:val="auto"/>
      </w:rPr>
    </w:lvl>
    <w:lvl w:ilvl="7">
      <w:start w:val="1"/>
      <w:numFmt w:val="decimal"/>
      <w:isLgl w:val="false"/>
      <w:suff w:val="tab"/>
      <w:lvlText w:val="%1.%2.%3.%4.%5.%6.%7.%8."/>
      <w:lvlJc w:val="left"/>
      <w:pPr>
        <w:ind w:left="3960" w:hanging="1440"/>
      </w:pPr>
      <w:rPr>
        <w:rFonts w:hint="default"/>
        <w:color w:val="auto"/>
      </w:rPr>
    </w:lvl>
    <w:lvl w:ilvl="8">
      <w:start w:val="1"/>
      <w:numFmt w:val="decimal"/>
      <w:isLgl w:val="false"/>
      <w:suff w:val="tab"/>
      <w:lvlText w:val="%1.%2.%3.%4.%5.%6.%7.%8.%9."/>
      <w:lvlJc w:val="left"/>
      <w:pPr>
        <w:ind w:left="4680" w:hanging="1800"/>
      </w:pPr>
      <w:rPr>
        <w:rFonts w:hint="default"/>
        <w:color w:val="auto"/>
      </w:rPr>
    </w:lvl>
  </w:abstractNum>
  <w:abstractNum w:abstractNumId="40">
    <w:multiLevelType w:val="hybridMultilevel"/>
    <w:lvl w:ilvl="0">
      <w:start w:val="4"/>
      <w:numFmt w:val="decimal"/>
      <w:isLgl w:val="false"/>
      <w:suff w:val="tab"/>
      <w:lvlText w:val="%1."/>
      <w:lvlJc w:val="left"/>
      <w:pPr>
        <w:ind w:left="360" w:hanging="360"/>
      </w:pPr>
      <w:rPr>
        <w:rFonts w:hint="default"/>
        <w:color w:val="auto"/>
      </w:rPr>
    </w:lvl>
    <w:lvl w:ilvl="1">
      <w:start w:val="3"/>
      <w:numFmt w:val="decimal"/>
      <w:isLgl w:val="false"/>
      <w:suff w:val="tab"/>
      <w:lvlText w:val="%1.%2."/>
      <w:lvlJc w:val="left"/>
      <w:pPr>
        <w:ind w:left="720" w:hanging="360"/>
      </w:pPr>
      <w:rPr>
        <w:rFonts w:hint="default" w:ascii="Times New Roman" w:hAnsi="Times New Roman" w:eastAsia="Times New Roman" w:cs="Times New Roman"/>
        <w:color w:val="auto"/>
        <w:sz w:val="24"/>
      </w:rPr>
    </w:lvl>
    <w:lvl w:ilvl="2">
      <w:start w:val="1"/>
      <w:numFmt w:val="decimal"/>
      <w:isLgl w:val="false"/>
      <w:suff w:val="tab"/>
      <w:lvlText w:val="%1.%2.%3."/>
      <w:lvlJc w:val="left"/>
      <w:pPr>
        <w:ind w:left="1440" w:hanging="720"/>
      </w:pPr>
      <w:rPr>
        <w:rFonts w:hint="default"/>
        <w:color w:val="auto"/>
      </w:rPr>
    </w:lvl>
    <w:lvl w:ilvl="3">
      <w:start w:val="1"/>
      <w:numFmt w:val="decimal"/>
      <w:isLgl w:val="false"/>
      <w:suff w:val="tab"/>
      <w:lvlText w:val="%1.%2.%3.%4."/>
      <w:lvlJc w:val="left"/>
      <w:pPr>
        <w:ind w:left="1800" w:hanging="720"/>
      </w:pPr>
      <w:rPr>
        <w:rFonts w:hint="default"/>
        <w:color w:val="auto"/>
      </w:rPr>
    </w:lvl>
    <w:lvl w:ilvl="4">
      <w:start w:val="1"/>
      <w:numFmt w:val="decimal"/>
      <w:isLgl w:val="false"/>
      <w:suff w:val="tab"/>
      <w:lvlText w:val="%1.%2.%3.%4.%5."/>
      <w:lvlJc w:val="left"/>
      <w:pPr>
        <w:ind w:left="2520" w:hanging="1080"/>
      </w:pPr>
      <w:rPr>
        <w:rFonts w:hint="default"/>
        <w:color w:val="auto"/>
      </w:rPr>
    </w:lvl>
    <w:lvl w:ilvl="5">
      <w:start w:val="1"/>
      <w:numFmt w:val="decimal"/>
      <w:isLgl w:val="false"/>
      <w:suff w:val="tab"/>
      <w:lvlText w:val="%1.%2.%3.%4.%5.%6."/>
      <w:lvlJc w:val="left"/>
      <w:pPr>
        <w:ind w:left="2880" w:hanging="1080"/>
      </w:pPr>
      <w:rPr>
        <w:rFonts w:hint="default"/>
        <w:color w:val="auto"/>
      </w:rPr>
    </w:lvl>
    <w:lvl w:ilvl="6">
      <w:start w:val="1"/>
      <w:numFmt w:val="decimal"/>
      <w:isLgl w:val="false"/>
      <w:suff w:val="tab"/>
      <w:lvlText w:val="%1.%2.%3.%4.%5.%6.%7."/>
      <w:lvlJc w:val="left"/>
      <w:pPr>
        <w:ind w:left="3600" w:hanging="1440"/>
      </w:pPr>
      <w:rPr>
        <w:rFonts w:hint="default"/>
        <w:color w:val="auto"/>
      </w:rPr>
    </w:lvl>
    <w:lvl w:ilvl="7">
      <w:start w:val="1"/>
      <w:numFmt w:val="decimal"/>
      <w:isLgl w:val="false"/>
      <w:suff w:val="tab"/>
      <w:lvlText w:val="%1.%2.%3.%4.%5.%6.%7.%8."/>
      <w:lvlJc w:val="left"/>
      <w:pPr>
        <w:ind w:left="3960" w:hanging="1440"/>
      </w:pPr>
      <w:rPr>
        <w:rFonts w:hint="default"/>
        <w:color w:val="auto"/>
      </w:rPr>
    </w:lvl>
    <w:lvl w:ilvl="8">
      <w:start w:val="1"/>
      <w:numFmt w:val="decimal"/>
      <w:isLgl w:val="false"/>
      <w:suff w:val="tab"/>
      <w:lvlText w:val="%1.%2.%3.%4.%5.%6.%7.%8.%9."/>
      <w:lvlJc w:val="left"/>
      <w:pPr>
        <w:ind w:left="4680" w:hanging="1800"/>
      </w:pPr>
      <w:rPr>
        <w:rFonts w:hint="default"/>
        <w:color w:val="auto"/>
      </w:rPr>
    </w:lvl>
  </w:abstractNum>
  <w:abstractNum w:abstractNumId="41">
    <w:multiLevelType w:val="hybridMultilevel"/>
    <w:lvl w:ilvl="0">
      <w:start w:val="4"/>
      <w:numFmt w:val="decimal"/>
      <w:isLgl w:val="false"/>
      <w:suff w:val="tab"/>
      <w:lvlText w:val="%1."/>
      <w:lvlJc w:val="left"/>
      <w:pPr>
        <w:ind w:left="360" w:hanging="360"/>
      </w:pPr>
      <w:rPr>
        <w:rFonts w:hint="default"/>
        <w:color w:val="auto"/>
      </w:rPr>
    </w:lvl>
    <w:lvl w:ilvl="1">
      <w:start w:val="3"/>
      <w:numFmt w:val="decimal"/>
      <w:isLgl w:val="false"/>
      <w:suff w:val="tab"/>
      <w:lvlText w:val="%1.%2."/>
      <w:lvlJc w:val="left"/>
      <w:pPr>
        <w:ind w:left="720" w:hanging="360"/>
      </w:pPr>
      <w:rPr>
        <w:rFonts w:hint="default" w:ascii="Times New Roman" w:hAnsi="Times New Roman" w:eastAsia="Times New Roman" w:cs="Times New Roman"/>
        <w:color w:val="auto"/>
        <w:sz w:val="24"/>
      </w:rPr>
    </w:lvl>
    <w:lvl w:ilvl="2">
      <w:start w:val="1"/>
      <w:numFmt w:val="decimal"/>
      <w:isLgl w:val="false"/>
      <w:suff w:val="tab"/>
      <w:lvlText w:val="%1.%2.%3."/>
      <w:lvlJc w:val="left"/>
      <w:pPr>
        <w:ind w:left="1440" w:hanging="720"/>
      </w:pPr>
      <w:rPr>
        <w:rFonts w:hint="default"/>
        <w:color w:val="auto"/>
      </w:rPr>
    </w:lvl>
    <w:lvl w:ilvl="3">
      <w:start w:val="1"/>
      <w:numFmt w:val="decimal"/>
      <w:isLgl w:val="false"/>
      <w:suff w:val="tab"/>
      <w:lvlText w:val="%1.%2.%3.%4."/>
      <w:lvlJc w:val="left"/>
      <w:pPr>
        <w:ind w:left="1800" w:hanging="720"/>
      </w:pPr>
      <w:rPr>
        <w:rFonts w:hint="default"/>
        <w:color w:val="auto"/>
      </w:rPr>
    </w:lvl>
    <w:lvl w:ilvl="4">
      <w:start w:val="1"/>
      <w:numFmt w:val="decimal"/>
      <w:isLgl w:val="false"/>
      <w:suff w:val="tab"/>
      <w:lvlText w:val="%1.%2.%3.%4.%5."/>
      <w:lvlJc w:val="left"/>
      <w:pPr>
        <w:ind w:left="2520" w:hanging="1080"/>
      </w:pPr>
      <w:rPr>
        <w:rFonts w:hint="default"/>
        <w:color w:val="auto"/>
      </w:rPr>
    </w:lvl>
    <w:lvl w:ilvl="5">
      <w:start w:val="1"/>
      <w:numFmt w:val="decimal"/>
      <w:isLgl w:val="false"/>
      <w:suff w:val="tab"/>
      <w:lvlText w:val="%1.%2.%3.%4.%5.%6."/>
      <w:lvlJc w:val="left"/>
      <w:pPr>
        <w:ind w:left="2880" w:hanging="1080"/>
      </w:pPr>
      <w:rPr>
        <w:rFonts w:hint="default"/>
        <w:color w:val="auto"/>
      </w:rPr>
    </w:lvl>
    <w:lvl w:ilvl="6">
      <w:start w:val="1"/>
      <w:numFmt w:val="decimal"/>
      <w:isLgl w:val="false"/>
      <w:suff w:val="tab"/>
      <w:lvlText w:val="%1.%2.%3.%4.%5.%6.%7."/>
      <w:lvlJc w:val="left"/>
      <w:pPr>
        <w:ind w:left="3600" w:hanging="1440"/>
      </w:pPr>
      <w:rPr>
        <w:rFonts w:hint="default"/>
        <w:color w:val="auto"/>
      </w:rPr>
    </w:lvl>
    <w:lvl w:ilvl="7">
      <w:start w:val="1"/>
      <w:numFmt w:val="decimal"/>
      <w:isLgl w:val="false"/>
      <w:suff w:val="tab"/>
      <w:lvlText w:val="%1.%2.%3.%4.%5.%6.%7.%8."/>
      <w:lvlJc w:val="left"/>
      <w:pPr>
        <w:ind w:left="3960" w:hanging="1440"/>
      </w:pPr>
      <w:rPr>
        <w:rFonts w:hint="default"/>
        <w:color w:val="auto"/>
      </w:rPr>
    </w:lvl>
    <w:lvl w:ilvl="8">
      <w:start w:val="1"/>
      <w:numFmt w:val="decimal"/>
      <w:isLgl w:val="false"/>
      <w:suff w:val="tab"/>
      <w:lvlText w:val="%1.%2.%3.%4.%5.%6.%7.%8.%9."/>
      <w:lvlJc w:val="left"/>
      <w:pPr>
        <w:ind w:left="4680" w:hanging="1800"/>
      </w:pPr>
      <w:rPr>
        <w:rFonts w:hint="default"/>
        <w:color w:val="auto"/>
      </w:rPr>
    </w:lvl>
  </w:abstractNum>
  <w:abstractNum w:abstractNumId="42">
    <w:multiLevelType w:val="hybridMultilevel"/>
    <w:lvl w:ilvl="0">
      <w:start w:val="4"/>
      <w:numFmt w:val="decimal"/>
      <w:isLgl w:val="false"/>
      <w:suff w:val="tab"/>
      <w:lvlText w:val="%1."/>
      <w:lvlJc w:val="left"/>
      <w:pPr>
        <w:ind w:left="360" w:hanging="360"/>
      </w:pPr>
      <w:rPr>
        <w:rFonts w:hint="default"/>
        <w:color w:val="auto"/>
      </w:rPr>
    </w:lvl>
    <w:lvl w:ilvl="1">
      <w:start w:val="3"/>
      <w:numFmt w:val="decimal"/>
      <w:isLgl w:val="false"/>
      <w:suff w:val="tab"/>
      <w:lvlText w:val="%1.%2."/>
      <w:lvlJc w:val="left"/>
      <w:pPr>
        <w:ind w:left="720" w:hanging="360"/>
      </w:pPr>
      <w:rPr>
        <w:rFonts w:hint="default" w:ascii="Times New Roman" w:hAnsi="Times New Roman" w:eastAsia="Times New Roman" w:cs="Times New Roman"/>
        <w:color w:val="auto"/>
        <w:sz w:val="24"/>
      </w:rPr>
    </w:lvl>
    <w:lvl w:ilvl="2">
      <w:start w:val="1"/>
      <w:numFmt w:val="decimal"/>
      <w:isLgl w:val="false"/>
      <w:suff w:val="tab"/>
      <w:lvlText w:val="%1.%2.%3."/>
      <w:lvlJc w:val="left"/>
      <w:pPr>
        <w:ind w:left="1440" w:hanging="720"/>
      </w:pPr>
      <w:rPr>
        <w:rFonts w:hint="default"/>
        <w:color w:val="auto"/>
      </w:rPr>
    </w:lvl>
    <w:lvl w:ilvl="3">
      <w:start w:val="1"/>
      <w:numFmt w:val="decimal"/>
      <w:isLgl w:val="false"/>
      <w:suff w:val="tab"/>
      <w:lvlText w:val="%1.%2.%3.%4."/>
      <w:lvlJc w:val="left"/>
      <w:pPr>
        <w:ind w:left="1800" w:hanging="720"/>
      </w:pPr>
      <w:rPr>
        <w:rFonts w:hint="default"/>
        <w:color w:val="auto"/>
      </w:rPr>
    </w:lvl>
    <w:lvl w:ilvl="4">
      <w:start w:val="1"/>
      <w:numFmt w:val="decimal"/>
      <w:isLgl w:val="false"/>
      <w:suff w:val="tab"/>
      <w:lvlText w:val="%1.%2.%3.%4.%5."/>
      <w:lvlJc w:val="left"/>
      <w:pPr>
        <w:ind w:left="2520" w:hanging="1080"/>
      </w:pPr>
      <w:rPr>
        <w:rFonts w:hint="default"/>
        <w:color w:val="auto"/>
      </w:rPr>
    </w:lvl>
    <w:lvl w:ilvl="5">
      <w:start w:val="1"/>
      <w:numFmt w:val="decimal"/>
      <w:isLgl w:val="false"/>
      <w:suff w:val="tab"/>
      <w:lvlText w:val="%1.%2.%3.%4.%5.%6."/>
      <w:lvlJc w:val="left"/>
      <w:pPr>
        <w:ind w:left="2880" w:hanging="1080"/>
      </w:pPr>
      <w:rPr>
        <w:rFonts w:hint="default"/>
        <w:color w:val="auto"/>
      </w:rPr>
    </w:lvl>
    <w:lvl w:ilvl="6">
      <w:start w:val="1"/>
      <w:numFmt w:val="decimal"/>
      <w:isLgl w:val="false"/>
      <w:suff w:val="tab"/>
      <w:lvlText w:val="%1.%2.%3.%4.%5.%6.%7."/>
      <w:lvlJc w:val="left"/>
      <w:pPr>
        <w:ind w:left="3600" w:hanging="1440"/>
      </w:pPr>
      <w:rPr>
        <w:rFonts w:hint="default"/>
        <w:color w:val="auto"/>
      </w:rPr>
    </w:lvl>
    <w:lvl w:ilvl="7">
      <w:start w:val="1"/>
      <w:numFmt w:val="decimal"/>
      <w:isLgl w:val="false"/>
      <w:suff w:val="tab"/>
      <w:lvlText w:val="%1.%2.%3.%4.%5.%6.%7.%8."/>
      <w:lvlJc w:val="left"/>
      <w:pPr>
        <w:ind w:left="3960" w:hanging="1440"/>
      </w:pPr>
      <w:rPr>
        <w:rFonts w:hint="default"/>
        <w:color w:val="auto"/>
      </w:rPr>
    </w:lvl>
    <w:lvl w:ilvl="8">
      <w:start w:val="1"/>
      <w:numFmt w:val="decimal"/>
      <w:isLgl w:val="false"/>
      <w:suff w:val="tab"/>
      <w:lvlText w:val="%1.%2.%3.%4.%5.%6.%7.%8.%9."/>
      <w:lvlJc w:val="left"/>
      <w:pPr>
        <w:ind w:left="4680" w:hanging="1800"/>
      </w:pPr>
      <w:rPr>
        <w:rFonts w:hint="default"/>
        <w:color w:val="auto"/>
      </w:rPr>
    </w:lvl>
  </w:abstractNum>
  <w:abstractNum w:abstractNumId="43">
    <w:multiLevelType w:val="hybridMultilevel"/>
    <w:lvl w:ilvl="0">
      <w:start w:val="4"/>
      <w:numFmt w:val="decimal"/>
      <w:isLgl w:val="false"/>
      <w:suff w:val="tab"/>
      <w:lvlText w:val="%1."/>
      <w:lvlJc w:val="left"/>
      <w:pPr>
        <w:ind w:left="360" w:hanging="360"/>
      </w:pPr>
      <w:rPr>
        <w:rFonts w:hint="default"/>
        <w:color w:val="auto"/>
      </w:rPr>
    </w:lvl>
    <w:lvl w:ilvl="1">
      <w:start w:val="3"/>
      <w:numFmt w:val="decimal"/>
      <w:isLgl w:val="false"/>
      <w:suff w:val="tab"/>
      <w:lvlText w:val="%1.%2."/>
      <w:lvlJc w:val="left"/>
      <w:pPr>
        <w:ind w:left="720" w:hanging="360"/>
      </w:pPr>
      <w:rPr>
        <w:rFonts w:hint="default" w:ascii="Times New Roman" w:hAnsi="Times New Roman" w:eastAsia="Times New Roman" w:cs="Times New Roman"/>
        <w:color w:val="auto"/>
        <w:sz w:val="24"/>
      </w:rPr>
    </w:lvl>
    <w:lvl w:ilvl="2">
      <w:start w:val="1"/>
      <w:numFmt w:val="decimal"/>
      <w:isLgl w:val="false"/>
      <w:suff w:val="tab"/>
      <w:lvlText w:val="%1.%2.%3."/>
      <w:lvlJc w:val="left"/>
      <w:pPr>
        <w:ind w:left="1440" w:hanging="720"/>
      </w:pPr>
      <w:rPr>
        <w:rFonts w:hint="default"/>
        <w:color w:val="auto"/>
      </w:rPr>
    </w:lvl>
    <w:lvl w:ilvl="3">
      <w:start w:val="1"/>
      <w:numFmt w:val="decimal"/>
      <w:isLgl w:val="false"/>
      <w:suff w:val="tab"/>
      <w:lvlText w:val="%1.%2.%3.%4."/>
      <w:lvlJc w:val="left"/>
      <w:pPr>
        <w:ind w:left="1800" w:hanging="720"/>
      </w:pPr>
      <w:rPr>
        <w:rFonts w:hint="default"/>
        <w:color w:val="auto"/>
      </w:rPr>
    </w:lvl>
    <w:lvl w:ilvl="4">
      <w:start w:val="1"/>
      <w:numFmt w:val="decimal"/>
      <w:isLgl w:val="false"/>
      <w:suff w:val="tab"/>
      <w:lvlText w:val="%1.%2.%3.%4.%5."/>
      <w:lvlJc w:val="left"/>
      <w:pPr>
        <w:ind w:left="2520" w:hanging="1080"/>
      </w:pPr>
      <w:rPr>
        <w:rFonts w:hint="default"/>
        <w:color w:val="auto"/>
      </w:rPr>
    </w:lvl>
    <w:lvl w:ilvl="5">
      <w:start w:val="1"/>
      <w:numFmt w:val="decimal"/>
      <w:isLgl w:val="false"/>
      <w:suff w:val="tab"/>
      <w:lvlText w:val="%1.%2.%3.%4.%5.%6."/>
      <w:lvlJc w:val="left"/>
      <w:pPr>
        <w:ind w:left="2880" w:hanging="1080"/>
      </w:pPr>
      <w:rPr>
        <w:rFonts w:hint="default"/>
        <w:color w:val="auto"/>
      </w:rPr>
    </w:lvl>
    <w:lvl w:ilvl="6">
      <w:start w:val="1"/>
      <w:numFmt w:val="decimal"/>
      <w:isLgl w:val="false"/>
      <w:suff w:val="tab"/>
      <w:lvlText w:val="%1.%2.%3.%4.%5.%6.%7."/>
      <w:lvlJc w:val="left"/>
      <w:pPr>
        <w:ind w:left="3600" w:hanging="1440"/>
      </w:pPr>
      <w:rPr>
        <w:rFonts w:hint="default"/>
        <w:color w:val="auto"/>
      </w:rPr>
    </w:lvl>
    <w:lvl w:ilvl="7">
      <w:start w:val="1"/>
      <w:numFmt w:val="decimal"/>
      <w:isLgl w:val="false"/>
      <w:suff w:val="tab"/>
      <w:lvlText w:val="%1.%2.%3.%4.%5.%6.%7.%8."/>
      <w:lvlJc w:val="left"/>
      <w:pPr>
        <w:ind w:left="3960" w:hanging="1440"/>
      </w:pPr>
      <w:rPr>
        <w:rFonts w:hint="default"/>
        <w:color w:val="auto"/>
      </w:rPr>
    </w:lvl>
    <w:lvl w:ilvl="8">
      <w:start w:val="1"/>
      <w:numFmt w:val="decimal"/>
      <w:isLgl w:val="false"/>
      <w:suff w:val="tab"/>
      <w:lvlText w:val="%1.%2.%3.%4.%5.%6.%7.%8.%9."/>
      <w:lvlJc w:val="left"/>
      <w:pPr>
        <w:ind w:left="4680" w:hanging="1800"/>
      </w:pPr>
      <w:rPr>
        <w:rFonts w:hint="default"/>
        <w:color w:val="auto"/>
      </w:rPr>
    </w:lvl>
  </w:abstractNum>
  <w:abstractNum w:abstractNumId="44">
    <w:multiLevelType w:val="hybridMultilevel"/>
    <w:lvl w:ilvl="0">
      <w:start w:val="4"/>
      <w:numFmt w:val="decimal"/>
      <w:isLgl w:val="false"/>
      <w:suff w:val="tab"/>
      <w:lvlText w:val="%1."/>
      <w:lvlJc w:val="left"/>
      <w:pPr>
        <w:ind w:left="360" w:hanging="360"/>
      </w:pPr>
      <w:rPr>
        <w:rFonts w:hint="default"/>
        <w:color w:val="auto"/>
      </w:rPr>
    </w:lvl>
    <w:lvl w:ilvl="1">
      <w:start w:val="3"/>
      <w:numFmt w:val="decimal"/>
      <w:isLgl w:val="false"/>
      <w:suff w:val="tab"/>
      <w:lvlText w:val="%1.%2."/>
      <w:lvlJc w:val="left"/>
      <w:pPr>
        <w:ind w:left="720" w:hanging="360"/>
      </w:pPr>
      <w:rPr>
        <w:rFonts w:hint="default" w:ascii="Times New Roman" w:hAnsi="Times New Roman" w:eastAsia="Times New Roman" w:cs="Times New Roman"/>
        <w:color w:val="auto"/>
        <w:sz w:val="24"/>
      </w:rPr>
    </w:lvl>
    <w:lvl w:ilvl="2">
      <w:start w:val="1"/>
      <w:numFmt w:val="decimal"/>
      <w:isLgl w:val="false"/>
      <w:suff w:val="tab"/>
      <w:lvlText w:val="%1.%2.%3."/>
      <w:lvlJc w:val="left"/>
      <w:pPr>
        <w:ind w:left="1440" w:hanging="720"/>
      </w:pPr>
      <w:rPr>
        <w:rFonts w:hint="default"/>
        <w:color w:val="auto"/>
      </w:rPr>
    </w:lvl>
    <w:lvl w:ilvl="3">
      <w:start w:val="1"/>
      <w:numFmt w:val="decimal"/>
      <w:isLgl w:val="false"/>
      <w:suff w:val="tab"/>
      <w:lvlText w:val="%1.%2.%3.%4."/>
      <w:lvlJc w:val="left"/>
      <w:pPr>
        <w:ind w:left="1800" w:hanging="720"/>
      </w:pPr>
      <w:rPr>
        <w:rFonts w:hint="default"/>
        <w:color w:val="auto"/>
      </w:rPr>
    </w:lvl>
    <w:lvl w:ilvl="4">
      <w:start w:val="1"/>
      <w:numFmt w:val="decimal"/>
      <w:isLgl w:val="false"/>
      <w:suff w:val="tab"/>
      <w:lvlText w:val="%1.%2.%3.%4.%5."/>
      <w:lvlJc w:val="left"/>
      <w:pPr>
        <w:ind w:left="2520" w:hanging="1080"/>
      </w:pPr>
      <w:rPr>
        <w:rFonts w:hint="default"/>
        <w:color w:val="auto"/>
      </w:rPr>
    </w:lvl>
    <w:lvl w:ilvl="5">
      <w:start w:val="1"/>
      <w:numFmt w:val="decimal"/>
      <w:isLgl w:val="false"/>
      <w:suff w:val="tab"/>
      <w:lvlText w:val="%1.%2.%3.%4.%5.%6."/>
      <w:lvlJc w:val="left"/>
      <w:pPr>
        <w:ind w:left="2880" w:hanging="1080"/>
      </w:pPr>
      <w:rPr>
        <w:rFonts w:hint="default"/>
        <w:color w:val="auto"/>
      </w:rPr>
    </w:lvl>
    <w:lvl w:ilvl="6">
      <w:start w:val="1"/>
      <w:numFmt w:val="decimal"/>
      <w:isLgl w:val="false"/>
      <w:suff w:val="tab"/>
      <w:lvlText w:val="%1.%2.%3.%4.%5.%6.%7."/>
      <w:lvlJc w:val="left"/>
      <w:pPr>
        <w:ind w:left="3600" w:hanging="1440"/>
      </w:pPr>
      <w:rPr>
        <w:rFonts w:hint="default"/>
        <w:color w:val="auto"/>
      </w:rPr>
    </w:lvl>
    <w:lvl w:ilvl="7">
      <w:start w:val="1"/>
      <w:numFmt w:val="decimal"/>
      <w:isLgl w:val="false"/>
      <w:suff w:val="tab"/>
      <w:lvlText w:val="%1.%2.%3.%4.%5.%6.%7.%8."/>
      <w:lvlJc w:val="left"/>
      <w:pPr>
        <w:ind w:left="3960" w:hanging="1440"/>
      </w:pPr>
      <w:rPr>
        <w:rFonts w:hint="default"/>
        <w:color w:val="auto"/>
      </w:rPr>
    </w:lvl>
    <w:lvl w:ilvl="8">
      <w:start w:val="1"/>
      <w:numFmt w:val="decimal"/>
      <w:isLgl w:val="false"/>
      <w:suff w:val="tab"/>
      <w:lvlText w:val="%1.%2.%3.%4.%5.%6.%7.%8.%9."/>
      <w:lvlJc w:val="left"/>
      <w:pPr>
        <w:ind w:left="4680" w:hanging="1800"/>
      </w:pPr>
      <w:rPr>
        <w:rFonts w:hint="default"/>
        <w:color w:val="auto"/>
      </w:rPr>
    </w:lvl>
  </w:abstractNum>
  <w:abstractNum w:abstractNumId="45">
    <w:multiLevelType w:val="hybridMultilevel"/>
    <w:lvl w:ilvl="0">
      <w:start w:val="4"/>
      <w:numFmt w:val="decimal"/>
      <w:isLgl w:val="false"/>
      <w:suff w:val="tab"/>
      <w:lvlText w:val="%1."/>
      <w:lvlJc w:val="left"/>
      <w:pPr>
        <w:ind w:left="360" w:hanging="360"/>
      </w:pPr>
      <w:rPr>
        <w:rFonts w:hint="default"/>
        <w:color w:val="auto"/>
      </w:rPr>
    </w:lvl>
    <w:lvl w:ilvl="1">
      <w:start w:val="3"/>
      <w:numFmt w:val="decimal"/>
      <w:isLgl w:val="false"/>
      <w:suff w:val="tab"/>
      <w:lvlText w:val="%1.%2."/>
      <w:lvlJc w:val="left"/>
      <w:pPr>
        <w:ind w:left="720" w:hanging="360"/>
      </w:pPr>
      <w:rPr>
        <w:rFonts w:hint="default" w:ascii="Times New Roman" w:hAnsi="Times New Roman" w:eastAsia="Times New Roman" w:cs="Times New Roman"/>
        <w:color w:val="auto"/>
        <w:sz w:val="24"/>
      </w:rPr>
    </w:lvl>
    <w:lvl w:ilvl="2">
      <w:start w:val="1"/>
      <w:numFmt w:val="decimal"/>
      <w:isLgl w:val="false"/>
      <w:suff w:val="tab"/>
      <w:lvlText w:val="%1.%2.%3."/>
      <w:lvlJc w:val="left"/>
      <w:pPr>
        <w:ind w:left="1440" w:hanging="720"/>
      </w:pPr>
      <w:rPr>
        <w:rFonts w:hint="default"/>
        <w:color w:val="auto"/>
      </w:rPr>
    </w:lvl>
    <w:lvl w:ilvl="3">
      <w:start w:val="1"/>
      <w:numFmt w:val="decimal"/>
      <w:isLgl w:val="false"/>
      <w:suff w:val="tab"/>
      <w:lvlText w:val="%1.%2.%3.%4."/>
      <w:lvlJc w:val="left"/>
      <w:pPr>
        <w:ind w:left="1800" w:hanging="720"/>
      </w:pPr>
      <w:rPr>
        <w:rFonts w:hint="default"/>
        <w:color w:val="auto"/>
      </w:rPr>
    </w:lvl>
    <w:lvl w:ilvl="4">
      <w:start w:val="1"/>
      <w:numFmt w:val="decimal"/>
      <w:isLgl w:val="false"/>
      <w:suff w:val="tab"/>
      <w:lvlText w:val="%1.%2.%3.%4.%5."/>
      <w:lvlJc w:val="left"/>
      <w:pPr>
        <w:ind w:left="2520" w:hanging="1080"/>
      </w:pPr>
      <w:rPr>
        <w:rFonts w:hint="default"/>
        <w:color w:val="auto"/>
      </w:rPr>
    </w:lvl>
    <w:lvl w:ilvl="5">
      <w:start w:val="1"/>
      <w:numFmt w:val="decimal"/>
      <w:isLgl w:val="false"/>
      <w:suff w:val="tab"/>
      <w:lvlText w:val="%1.%2.%3.%4.%5.%6."/>
      <w:lvlJc w:val="left"/>
      <w:pPr>
        <w:ind w:left="2880" w:hanging="1080"/>
      </w:pPr>
      <w:rPr>
        <w:rFonts w:hint="default"/>
        <w:color w:val="auto"/>
      </w:rPr>
    </w:lvl>
    <w:lvl w:ilvl="6">
      <w:start w:val="1"/>
      <w:numFmt w:val="decimal"/>
      <w:isLgl w:val="false"/>
      <w:suff w:val="tab"/>
      <w:lvlText w:val="%1.%2.%3.%4.%5.%6.%7."/>
      <w:lvlJc w:val="left"/>
      <w:pPr>
        <w:ind w:left="3600" w:hanging="1440"/>
      </w:pPr>
      <w:rPr>
        <w:rFonts w:hint="default"/>
        <w:color w:val="auto"/>
      </w:rPr>
    </w:lvl>
    <w:lvl w:ilvl="7">
      <w:start w:val="1"/>
      <w:numFmt w:val="decimal"/>
      <w:isLgl w:val="false"/>
      <w:suff w:val="tab"/>
      <w:lvlText w:val="%1.%2.%3.%4.%5.%6.%7.%8."/>
      <w:lvlJc w:val="left"/>
      <w:pPr>
        <w:ind w:left="3960" w:hanging="1440"/>
      </w:pPr>
      <w:rPr>
        <w:rFonts w:hint="default"/>
        <w:color w:val="auto"/>
      </w:rPr>
    </w:lvl>
    <w:lvl w:ilvl="8">
      <w:start w:val="1"/>
      <w:numFmt w:val="decimal"/>
      <w:isLgl w:val="false"/>
      <w:suff w:val="tab"/>
      <w:lvlText w:val="%1.%2.%3.%4.%5.%6.%7.%8.%9."/>
      <w:lvlJc w:val="left"/>
      <w:pPr>
        <w:ind w:left="4680" w:hanging="1800"/>
      </w:pPr>
      <w:rPr>
        <w:rFonts w:hint="default"/>
        <w:color w:val="auto"/>
      </w:rPr>
    </w:lvl>
  </w:abstractNum>
  <w:abstractNum w:abstractNumId="46">
    <w:multiLevelType w:val="hybridMultilevel"/>
    <w:lvl w:ilvl="0">
      <w:start w:val="4"/>
      <w:numFmt w:val="decimal"/>
      <w:isLgl w:val="false"/>
      <w:suff w:val="tab"/>
      <w:lvlText w:val="%1."/>
      <w:lvlJc w:val="left"/>
      <w:pPr>
        <w:ind w:left="360" w:hanging="360"/>
      </w:pPr>
      <w:rPr>
        <w:rFonts w:hint="default"/>
        <w:color w:val="auto"/>
      </w:rPr>
    </w:lvl>
    <w:lvl w:ilvl="1">
      <w:start w:val="11"/>
      <w:numFmt w:val="decimal"/>
      <w:isLgl w:val="false"/>
      <w:suff w:val="tab"/>
      <w:lvlText w:val="%1.%2."/>
      <w:lvlJc w:val="left"/>
      <w:pPr>
        <w:ind w:left="720" w:hanging="360"/>
      </w:pPr>
      <w:rPr>
        <w:rFonts w:hint="default" w:ascii="Times New Roman" w:hAnsi="Times New Roman" w:eastAsia="Times New Roman" w:cs="Times New Roman"/>
        <w:color w:val="auto"/>
        <w:sz w:val="24"/>
      </w:rPr>
    </w:lvl>
    <w:lvl w:ilvl="2">
      <w:start w:val="1"/>
      <w:numFmt w:val="decimal"/>
      <w:isLgl w:val="false"/>
      <w:suff w:val="tab"/>
      <w:lvlText w:val="%1.%2.%3."/>
      <w:lvlJc w:val="left"/>
      <w:pPr>
        <w:ind w:left="1440" w:hanging="720"/>
      </w:pPr>
      <w:rPr>
        <w:rFonts w:hint="default"/>
        <w:color w:val="auto"/>
      </w:rPr>
    </w:lvl>
    <w:lvl w:ilvl="3">
      <w:start w:val="1"/>
      <w:numFmt w:val="decimal"/>
      <w:isLgl w:val="false"/>
      <w:suff w:val="tab"/>
      <w:lvlText w:val="%1.%2.%3.%4."/>
      <w:lvlJc w:val="left"/>
      <w:pPr>
        <w:ind w:left="1800" w:hanging="720"/>
      </w:pPr>
      <w:rPr>
        <w:rFonts w:hint="default"/>
        <w:color w:val="auto"/>
      </w:rPr>
    </w:lvl>
    <w:lvl w:ilvl="4">
      <w:start w:val="1"/>
      <w:numFmt w:val="decimal"/>
      <w:isLgl w:val="false"/>
      <w:suff w:val="tab"/>
      <w:lvlText w:val="%1.%2.%3.%4.%5."/>
      <w:lvlJc w:val="left"/>
      <w:pPr>
        <w:ind w:left="2520" w:hanging="1080"/>
      </w:pPr>
      <w:rPr>
        <w:rFonts w:hint="default"/>
        <w:color w:val="auto"/>
      </w:rPr>
    </w:lvl>
    <w:lvl w:ilvl="5">
      <w:start w:val="1"/>
      <w:numFmt w:val="decimal"/>
      <w:isLgl w:val="false"/>
      <w:suff w:val="tab"/>
      <w:lvlText w:val="%1.%2.%3.%4.%5.%6."/>
      <w:lvlJc w:val="left"/>
      <w:pPr>
        <w:ind w:left="2880" w:hanging="1080"/>
      </w:pPr>
      <w:rPr>
        <w:rFonts w:hint="default"/>
        <w:color w:val="auto"/>
      </w:rPr>
    </w:lvl>
    <w:lvl w:ilvl="6">
      <w:start w:val="1"/>
      <w:numFmt w:val="decimal"/>
      <w:isLgl w:val="false"/>
      <w:suff w:val="tab"/>
      <w:lvlText w:val="%1.%2.%3.%4.%5.%6.%7."/>
      <w:lvlJc w:val="left"/>
      <w:pPr>
        <w:ind w:left="3600" w:hanging="1440"/>
      </w:pPr>
      <w:rPr>
        <w:rFonts w:hint="default"/>
        <w:color w:val="auto"/>
      </w:rPr>
    </w:lvl>
    <w:lvl w:ilvl="7">
      <w:start w:val="1"/>
      <w:numFmt w:val="decimal"/>
      <w:isLgl w:val="false"/>
      <w:suff w:val="tab"/>
      <w:lvlText w:val="%1.%2.%3.%4.%5.%6.%7.%8."/>
      <w:lvlJc w:val="left"/>
      <w:pPr>
        <w:ind w:left="3960" w:hanging="1440"/>
      </w:pPr>
      <w:rPr>
        <w:rFonts w:hint="default"/>
        <w:color w:val="auto"/>
      </w:rPr>
    </w:lvl>
    <w:lvl w:ilvl="8">
      <w:start w:val="1"/>
      <w:numFmt w:val="decimal"/>
      <w:isLgl w:val="false"/>
      <w:suff w:val="tab"/>
      <w:lvlText w:val="%1.%2.%3.%4.%5.%6.%7.%8.%9."/>
      <w:lvlJc w:val="left"/>
      <w:pPr>
        <w:ind w:left="4680" w:hanging="1800"/>
      </w:pPr>
      <w:rPr>
        <w:rFonts w:hint="default"/>
        <w:color w:val="auto"/>
      </w:rPr>
    </w:lvl>
  </w:abstractNum>
  <w:abstractNum w:abstractNumId="47">
    <w:multiLevelType w:val="hybridMultilevel"/>
    <w:lvl w:ilvl="0">
      <w:start w:val="1"/>
      <w:numFmt w:val="bullet"/>
      <w:isLgl w:val="false"/>
      <w:suff w:val="tab"/>
      <w:lvlText w:val="–"/>
      <w:lvlJc w:val="left"/>
      <w:pPr>
        <w:ind w:left="1559" w:hanging="360"/>
      </w:pPr>
      <w:rPr>
        <w:rFonts w:hint="default" w:ascii="Arial" w:hAnsi="Arial" w:eastAsia="Arial" w:cs="Arial"/>
      </w:rPr>
    </w:lvl>
    <w:lvl w:ilvl="1">
      <w:start w:val="1"/>
      <w:numFmt w:val="bullet"/>
      <w:isLgl w:val="false"/>
      <w:suff w:val="tab"/>
      <w:lvlText w:val="o"/>
      <w:lvlJc w:val="left"/>
      <w:pPr>
        <w:ind w:left="2279" w:hanging="360"/>
      </w:pPr>
      <w:rPr>
        <w:rFonts w:hint="default" w:ascii="Courier New" w:hAnsi="Courier New" w:eastAsia="Courier New" w:cs="Courier New"/>
      </w:rPr>
    </w:lvl>
    <w:lvl w:ilvl="2">
      <w:start w:val="1"/>
      <w:numFmt w:val="bullet"/>
      <w:isLgl w:val="false"/>
      <w:suff w:val="tab"/>
      <w:lvlText w:val="§"/>
      <w:lvlJc w:val="left"/>
      <w:pPr>
        <w:ind w:left="2999" w:hanging="360"/>
      </w:pPr>
      <w:rPr>
        <w:rFonts w:hint="default" w:ascii="Wingdings" w:hAnsi="Wingdings" w:eastAsia="Wingdings" w:cs="Wingdings"/>
      </w:rPr>
    </w:lvl>
    <w:lvl w:ilvl="3">
      <w:start w:val="1"/>
      <w:numFmt w:val="bullet"/>
      <w:isLgl w:val="false"/>
      <w:suff w:val="tab"/>
      <w:lvlText w:val="·"/>
      <w:lvlJc w:val="left"/>
      <w:pPr>
        <w:ind w:left="3719" w:hanging="360"/>
      </w:pPr>
      <w:rPr>
        <w:rFonts w:hint="default" w:ascii="Symbol" w:hAnsi="Symbol" w:eastAsia="Symbol" w:cs="Symbol"/>
      </w:rPr>
    </w:lvl>
    <w:lvl w:ilvl="4">
      <w:start w:val="1"/>
      <w:numFmt w:val="bullet"/>
      <w:isLgl w:val="false"/>
      <w:suff w:val="tab"/>
      <w:lvlText w:val="o"/>
      <w:lvlJc w:val="left"/>
      <w:pPr>
        <w:ind w:left="4439" w:hanging="360"/>
      </w:pPr>
      <w:rPr>
        <w:rFonts w:hint="default" w:ascii="Courier New" w:hAnsi="Courier New" w:eastAsia="Courier New" w:cs="Courier New"/>
      </w:rPr>
    </w:lvl>
    <w:lvl w:ilvl="5">
      <w:start w:val="1"/>
      <w:numFmt w:val="bullet"/>
      <w:isLgl w:val="false"/>
      <w:suff w:val="tab"/>
      <w:lvlText w:val="§"/>
      <w:lvlJc w:val="left"/>
      <w:pPr>
        <w:ind w:left="5159" w:hanging="360"/>
      </w:pPr>
      <w:rPr>
        <w:rFonts w:hint="default" w:ascii="Wingdings" w:hAnsi="Wingdings" w:eastAsia="Wingdings" w:cs="Wingdings"/>
      </w:rPr>
    </w:lvl>
    <w:lvl w:ilvl="6">
      <w:start w:val="1"/>
      <w:numFmt w:val="bullet"/>
      <w:isLgl w:val="false"/>
      <w:suff w:val="tab"/>
      <w:lvlText w:val="·"/>
      <w:lvlJc w:val="left"/>
      <w:pPr>
        <w:ind w:left="5879" w:hanging="360"/>
      </w:pPr>
      <w:rPr>
        <w:rFonts w:hint="default" w:ascii="Symbol" w:hAnsi="Symbol" w:eastAsia="Symbol" w:cs="Symbol"/>
      </w:rPr>
    </w:lvl>
    <w:lvl w:ilvl="7">
      <w:start w:val="1"/>
      <w:numFmt w:val="bullet"/>
      <w:isLgl w:val="false"/>
      <w:suff w:val="tab"/>
      <w:lvlText w:val="o"/>
      <w:lvlJc w:val="left"/>
      <w:pPr>
        <w:ind w:left="6599" w:hanging="360"/>
      </w:pPr>
      <w:rPr>
        <w:rFonts w:hint="default" w:ascii="Courier New" w:hAnsi="Courier New" w:eastAsia="Courier New" w:cs="Courier New"/>
      </w:rPr>
    </w:lvl>
    <w:lvl w:ilvl="8">
      <w:start w:val="1"/>
      <w:numFmt w:val="bullet"/>
      <w:isLgl w:val="false"/>
      <w:suff w:val="tab"/>
      <w:lvlText w:val="§"/>
      <w:lvlJc w:val="left"/>
      <w:pPr>
        <w:ind w:left="7319" w:hanging="360"/>
      </w:pPr>
      <w:rPr>
        <w:rFonts w:hint="default" w:ascii="Wingdings" w:hAnsi="Wingdings" w:eastAsia="Wingdings" w:cs="Wingdings"/>
      </w:rPr>
    </w:lvl>
  </w:abstractNum>
  <w:abstractNum w:abstractNumId="48">
    <w:multiLevelType w:val="hybridMultilevel"/>
    <w:lvl w:ilvl="0">
      <w:start w:val="4"/>
      <w:numFmt w:val="decimal"/>
      <w:isLgl w:val="false"/>
      <w:suff w:val="tab"/>
      <w:lvlText w:val="%1."/>
      <w:lvlJc w:val="left"/>
      <w:pPr>
        <w:ind w:left="360" w:hanging="360"/>
      </w:pPr>
      <w:rPr>
        <w:rFonts w:hint="default"/>
        <w:color w:val="auto"/>
      </w:rPr>
    </w:lvl>
    <w:lvl w:ilvl="1">
      <w:start w:val="3"/>
      <w:numFmt w:val="decimal"/>
      <w:isLgl w:val="false"/>
      <w:suff w:val="tab"/>
      <w:lvlText w:val="%1.%2."/>
      <w:lvlJc w:val="left"/>
      <w:pPr>
        <w:ind w:left="720" w:hanging="360"/>
      </w:pPr>
      <w:rPr>
        <w:rFonts w:hint="default" w:ascii="Times New Roman" w:hAnsi="Times New Roman" w:eastAsia="Times New Roman" w:cs="Times New Roman"/>
        <w:color w:val="auto"/>
        <w:sz w:val="24"/>
      </w:rPr>
    </w:lvl>
    <w:lvl w:ilvl="2">
      <w:start w:val="1"/>
      <w:numFmt w:val="decimal"/>
      <w:isLgl w:val="false"/>
      <w:suff w:val="tab"/>
      <w:lvlText w:val="%1.%2.%3."/>
      <w:lvlJc w:val="left"/>
      <w:pPr>
        <w:ind w:left="1440" w:hanging="720"/>
      </w:pPr>
      <w:rPr>
        <w:rFonts w:hint="default"/>
        <w:color w:val="auto"/>
      </w:rPr>
    </w:lvl>
    <w:lvl w:ilvl="3">
      <w:start w:val="1"/>
      <w:numFmt w:val="decimal"/>
      <w:isLgl w:val="false"/>
      <w:suff w:val="tab"/>
      <w:lvlText w:val="%1.%2.%3.%4."/>
      <w:lvlJc w:val="left"/>
      <w:pPr>
        <w:ind w:left="1800" w:hanging="720"/>
      </w:pPr>
      <w:rPr>
        <w:rFonts w:hint="default"/>
        <w:color w:val="auto"/>
      </w:rPr>
    </w:lvl>
    <w:lvl w:ilvl="4">
      <w:start w:val="1"/>
      <w:numFmt w:val="decimal"/>
      <w:isLgl w:val="false"/>
      <w:suff w:val="tab"/>
      <w:lvlText w:val="%1.%2.%3.%4.%5."/>
      <w:lvlJc w:val="left"/>
      <w:pPr>
        <w:ind w:left="2520" w:hanging="1080"/>
      </w:pPr>
      <w:rPr>
        <w:rFonts w:hint="default"/>
        <w:color w:val="auto"/>
      </w:rPr>
    </w:lvl>
    <w:lvl w:ilvl="5">
      <w:start w:val="1"/>
      <w:numFmt w:val="decimal"/>
      <w:isLgl w:val="false"/>
      <w:suff w:val="tab"/>
      <w:lvlText w:val="%1.%2.%3.%4.%5.%6."/>
      <w:lvlJc w:val="left"/>
      <w:pPr>
        <w:ind w:left="2880" w:hanging="1080"/>
      </w:pPr>
      <w:rPr>
        <w:rFonts w:hint="default"/>
        <w:color w:val="auto"/>
      </w:rPr>
    </w:lvl>
    <w:lvl w:ilvl="6">
      <w:start w:val="1"/>
      <w:numFmt w:val="decimal"/>
      <w:isLgl w:val="false"/>
      <w:suff w:val="tab"/>
      <w:lvlText w:val="%1.%2.%3.%4.%5.%6.%7."/>
      <w:lvlJc w:val="left"/>
      <w:pPr>
        <w:ind w:left="3600" w:hanging="1440"/>
      </w:pPr>
      <w:rPr>
        <w:rFonts w:hint="default"/>
        <w:color w:val="auto"/>
      </w:rPr>
    </w:lvl>
    <w:lvl w:ilvl="7">
      <w:start w:val="1"/>
      <w:numFmt w:val="decimal"/>
      <w:isLgl w:val="false"/>
      <w:suff w:val="tab"/>
      <w:lvlText w:val="%1.%2.%3.%4.%5.%6.%7.%8."/>
      <w:lvlJc w:val="left"/>
      <w:pPr>
        <w:ind w:left="3960" w:hanging="1440"/>
      </w:pPr>
      <w:rPr>
        <w:rFonts w:hint="default"/>
        <w:color w:val="auto"/>
      </w:rPr>
    </w:lvl>
    <w:lvl w:ilvl="8">
      <w:start w:val="1"/>
      <w:numFmt w:val="decimal"/>
      <w:isLgl w:val="false"/>
      <w:suff w:val="tab"/>
      <w:lvlText w:val="%1.%2.%3.%4.%5.%6.%7.%8.%9."/>
      <w:lvlJc w:val="left"/>
      <w:pPr>
        <w:ind w:left="4680" w:hanging="1800"/>
      </w:pPr>
      <w:rPr>
        <w:rFonts w:hint="default"/>
        <w:color w:val="auto"/>
      </w:rPr>
    </w:lvl>
  </w:abstractNum>
  <w:abstractNum w:abstractNumId="49">
    <w:multiLevelType w:val="hybridMultilevel"/>
    <w:lvl w:ilvl="0">
      <w:start w:val="4"/>
      <w:numFmt w:val="decimal"/>
      <w:isLgl w:val="false"/>
      <w:suff w:val="tab"/>
      <w:lvlText w:val="%1."/>
      <w:lvlJc w:val="left"/>
      <w:pPr>
        <w:ind w:left="360" w:hanging="360"/>
      </w:pPr>
      <w:rPr>
        <w:rFonts w:hint="default"/>
        <w:color w:val="auto"/>
      </w:rPr>
    </w:lvl>
    <w:lvl w:ilvl="1">
      <w:start w:val="3"/>
      <w:numFmt w:val="decimal"/>
      <w:isLgl w:val="false"/>
      <w:suff w:val="tab"/>
      <w:lvlText w:val="%1.%2."/>
      <w:lvlJc w:val="left"/>
      <w:pPr>
        <w:ind w:left="720" w:hanging="360"/>
      </w:pPr>
      <w:rPr>
        <w:rFonts w:hint="default" w:ascii="Times New Roman" w:hAnsi="Times New Roman" w:eastAsia="Times New Roman" w:cs="Times New Roman"/>
        <w:color w:val="auto"/>
        <w:sz w:val="24"/>
      </w:rPr>
    </w:lvl>
    <w:lvl w:ilvl="2">
      <w:start w:val="1"/>
      <w:numFmt w:val="decimal"/>
      <w:isLgl w:val="false"/>
      <w:suff w:val="tab"/>
      <w:lvlText w:val="%1.%2.%3."/>
      <w:lvlJc w:val="left"/>
      <w:pPr>
        <w:ind w:left="1440" w:hanging="720"/>
      </w:pPr>
      <w:rPr>
        <w:rFonts w:hint="default"/>
        <w:color w:val="auto"/>
      </w:rPr>
    </w:lvl>
    <w:lvl w:ilvl="3">
      <w:start w:val="1"/>
      <w:numFmt w:val="decimal"/>
      <w:isLgl w:val="false"/>
      <w:suff w:val="tab"/>
      <w:lvlText w:val="%1.%2.%3.%4."/>
      <w:lvlJc w:val="left"/>
      <w:pPr>
        <w:ind w:left="1800" w:hanging="720"/>
      </w:pPr>
      <w:rPr>
        <w:rFonts w:hint="default"/>
        <w:color w:val="auto"/>
      </w:rPr>
    </w:lvl>
    <w:lvl w:ilvl="4">
      <w:start w:val="1"/>
      <w:numFmt w:val="decimal"/>
      <w:isLgl w:val="false"/>
      <w:suff w:val="tab"/>
      <w:lvlText w:val="%1.%2.%3.%4.%5."/>
      <w:lvlJc w:val="left"/>
      <w:pPr>
        <w:ind w:left="2520" w:hanging="1080"/>
      </w:pPr>
      <w:rPr>
        <w:rFonts w:hint="default"/>
        <w:color w:val="auto"/>
      </w:rPr>
    </w:lvl>
    <w:lvl w:ilvl="5">
      <w:start w:val="1"/>
      <w:numFmt w:val="decimal"/>
      <w:isLgl w:val="false"/>
      <w:suff w:val="tab"/>
      <w:lvlText w:val="%1.%2.%3.%4.%5.%6."/>
      <w:lvlJc w:val="left"/>
      <w:pPr>
        <w:ind w:left="2880" w:hanging="1080"/>
      </w:pPr>
      <w:rPr>
        <w:rFonts w:hint="default"/>
        <w:color w:val="auto"/>
      </w:rPr>
    </w:lvl>
    <w:lvl w:ilvl="6">
      <w:start w:val="1"/>
      <w:numFmt w:val="decimal"/>
      <w:isLgl w:val="false"/>
      <w:suff w:val="tab"/>
      <w:lvlText w:val="%1.%2.%3.%4.%5.%6.%7."/>
      <w:lvlJc w:val="left"/>
      <w:pPr>
        <w:ind w:left="3600" w:hanging="1440"/>
      </w:pPr>
      <w:rPr>
        <w:rFonts w:hint="default"/>
        <w:color w:val="auto"/>
      </w:rPr>
    </w:lvl>
    <w:lvl w:ilvl="7">
      <w:start w:val="1"/>
      <w:numFmt w:val="decimal"/>
      <w:isLgl w:val="false"/>
      <w:suff w:val="tab"/>
      <w:lvlText w:val="%1.%2.%3.%4.%5.%6.%7.%8."/>
      <w:lvlJc w:val="left"/>
      <w:pPr>
        <w:ind w:left="3960" w:hanging="1440"/>
      </w:pPr>
      <w:rPr>
        <w:rFonts w:hint="default"/>
        <w:color w:val="auto"/>
      </w:rPr>
    </w:lvl>
    <w:lvl w:ilvl="8">
      <w:start w:val="1"/>
      <w:numFmt w:val="decimal"/>
      <w:isLgl w:val="false"/>
      <w:suff w:val="tab"/>
      <w:lvlText w:val="%1.%2.%3.%4.%5.%6.%7.%8.%9."/>
      <w:lvlJc w:val="left"/>
      <w:pPr>
        <w:ind w:left="4680" w:hanging="1800"/>
      </w:pPr>
      <w:rPr>
        <w:rFonts w:hint="default"/>
        <w:color w:val="auto"/>
      </w:rPr>
    </w:lvl>
  </w:abstractNum>
  <w:abstractNum w:abstractNumId="50">
    <w:multiLevelType w:val="hybridMultilevel"/>
    <w:lvl w:ilvl="0">
      <w:start w:val="4"/>
      <w:numFmt w:val="decimal"/>
      <w:isLgl w:val="false"/>
      <w:suff w:val="tab"/>
      <w:lvlText w:val="%1."/>
      <w:lvlJc w:val="left"/>
      <w:pPr>
        <w:ind w:left="360" w:hanging="360"/>
      </w:pPr>
      <w:rPr>
        <w:rFonts w:hint="default"/>
        <w:color w:val="auto"/>
      </w:rPr>
    </w:lvl>
    <w:lvl w:ilvl="1">
      <w:start w:val="3"/>
      <w:numFmt w:val="decimal"/>
      <w:isLgl w:val="false"/>
      <w:suff w:val="tab"/>
      <w:lvlText w:val="%1.%2."/>
      <w:lvlJc w:val="left"/>
      <w:pPr>
        <w:ind w:left="720" w:hanging="360"/>
      </w:pPr>
      <w:rPr>
        <w:rFonts w:hint="default" w:ascii="Times New Roman" w:hAnsi="Times New Roman" w:eastAsia="Times New Roman" w:cs="Times New Roman"/>
        <w:color w:val="auto"/>
        <w:sz w:val="24"/>
      </w:rPr>
    </w:lvl>
    <w:lvl w:ilvl="2">
      <w:start w:val="1"/>
      <w:numFmt w:val="decimal"/>
      <w:isLgl w:val="false"/>
      <w:suff w:val="tab"/>
      <w:lvlText w:val="%1.%2.%3."/>
      <w:lvlJc w:val="left"/>
      <w:pPr>
        <w:ind w:left="1440" w:hanging="720"/>
      </w:pPr>
      <w:rPr>
        <w:rFonts w:hint="default"/>
        <w:color w:val="auto"/>
      </w:rPr>
    </w:lvl>
    <w:lvl w:ilvl="3">
      <w:start w:val="1"/>
      <w:numFmt w:val="decimal"/>
      <w:isLgl w:val="false"/>
      <w:suff w:val="tab"/>
      <w:lvlText w:val="%1.%2.%3.%4."/>
      <w:lvlJc w:val="left"/>
      <w:pPr>
        <w:ind w:left="1800" w:hanging="720"/>
      </w:pPr>
      <w:rPr>
        <w:rFonts w:hint="default"/>
        <w:color w:val="auto"/>
      </w:rPr>
    </w:lvl>
    <w:lvl w:ilvl="4">
      <w:start w:val="1"/>
      <w:numFmt w:val="decimal"/>
      <w:isLgl w:val="false"/>
      <w:suff w:val="tab"/>
      <w:lvlText w:val="%1.%2.%3.%4.%5."/>
      <w:lvlJc w:val="left"/>
      <w:pPr>
        <w:ind w:left="2520" w:hanging="1080"/>
      </w:pPr>
      <w:rPr>
        <w:rFonts w:hint="default"/>
        <w:color w:val="auto"/>
      </w:rPr>
    </w:lvl>
    <w:lvl w:ilvl="5">
      <w:start w:val="1"/>
      <w:numFmt w:val="decimal"/>
      <w:isLgl w:val="false"/>
      <w:suff w:val="tab"/>
      <w:lvlText w:val="%1.%2.%3.%4.%5.%6."/>
      <w:lvlJc w:val="left"/>
      <w:pPr>
        <w:ind w:left="2880" w:hanging="1080"/>
      </w:pPr>
      <w:rPr>
        <w:rFonts w:hint="default"/>
        <w:color w:val="auto"/>
      </w:rPr>
    </w:lvl>
    <w:lvl w:ilvl="6">
      <w:start w:val="1"/>
      <w:numFmt w:val="decimal"/>
      <w:isLgl w:val="false"/>
      <w:suff w:val="tab"/>
      <w:lvlText w:val="%1.%2.%3.%4.%5.%6.%7."/>
      <w:lvlJc w:val="left"/>
      <w:pPr>
        <w:ind w:left="3600" w:hanging="1440"/>
      </w:pPr>
      <w:rPr>
        <w:rFonts w:hint="default"/>
        <w:color w:val="auto"/>
      </w:rPr>
    </w:lvl>
    <w:lvl w:ilvl="7">
      <w:start w:val="1"/>
      <w:numFmt w:val="decimal"/>
      <w:isLgl w:val="false"/>
      <w:suff w:val="tab"/>
      <w:lvlText w:val="%1.%2.%3.%4.%5.%6.%7.%8."/>
      <w:lvlJc w:val="left"/>
      <w:pPr>
        <w:ind w:left="3960" w:hanging="1440"/>
      </w:pPr>
      <w:rPr>
        <w:rFonts w:hint="default"/>
        <w:color w:val="auto"/>
      </w:rPr>
    </w:lvl>
    <w:lvl w:ilvl="8">
      <w:start w:val="1"/>
      <w:numFmt w:val="decimal"/>
      <w:isLgl w:val="false"/>
      <w:suff w:val="tab"/>
      <w:lvlText w:val="%1.%2.%3.%4.%5.%6.%7.%8.%9."/>
      <w:lvlJc w:val="left"/>
      <w:pPr>
        <w:ind w:left="4680" w:hanging="1800"/>
      </w:pPr>
      <w:rPr>
        <w:rFonts w:hint="default"/>
        <w:color w:val="auto"/>
      </w:rPr>
    </w:lvl>
  </w:abstractNum>
  <w:abstractNum w:abstractNumId="51">
    <w:multiLevelType w:val="hybridMultilevel"/>
    <w:lvl w:ilvl="0">
      <w:start w:val="4"/>
      <w:numFmt w:val="decimal"/>
      <w:isLgl w:val="false"/>
      <w:suff w:val="tab"/>
      <w:lvlText w:val="%1."/>
      <w:lvlJc w:val="left"/>
      <w:pPr>
        <w:ind w:left="360" w:hanging="360"/>
      </w:pPr>
      <w:rPr>
        <w:rFonts w:hint="default"/>
        <w:color w:val="auto"/>
      </w:rPr>
    </w:lvl>
    <w:lvl w:ilvl="1">
      <w:start w:val="3"/>
      <w:numFmt w:val="decimal"/>
      <w:isLgl w:val="false"/>
      <w:suff w:val="tab"/>
      <w:lvlText w:val="%1.%2."/>
      <w:lvlJc w:val="left"/>
      <w:pPr>
        <w:ind w:left="720" w:hanging="360"/>
      </w:pPr>
      <w:rPr>
        <w:rFonts w:hint="default" w:ascii="Times New Roman" w:hAnsi="Times New Roman" w:eastAsia="Times New Roman" w:cs="Times New Roman"/>
        <w:color w:val="auto"/>
        <w:sz w:val="24"/>
      </w:rPr>
    </w:lvl>
    <w:lvl w:ilvl="2">
      <w:start w:val="1"/>
      <w:numFmt w:val="decimal"/>
      <w:isLgl w:val="false"/>
      <w:suff w:val="tab"/>
      <w:lvlText w:val="%1.%2.%3."/>
      <w:lvlJc w:val="left"/>
      <w:pPr>
        <w:ind w:left="1440" w:hanging="720"/>
      </w:pPr>
      <w:rPr>
        <w:rFonts w:hint="default"/>
        <w:color w:val="auto"/>
      </w:rPr>
    </w:lvl>
    <w:lvl w:ilvl="3">
      <w:start w:val="1"/>
      <w:numFmt w:val="decimal"/>
      <w:isLgl w:val="false"/>
      <w:suff w:val="tab"/>
      <w:lvlText w:val="%1.%2.%3.%4."/>
      <w:lvlJc w:val="left"/>
      <w:pPr>
        <w:ind w:left="1800" w:hanging="720"/>
      </w:pPr>
      <w:rPr>
        <w:rFonts w:hint="default"/>
        <w:color w:val="auto"/>
      </w:rPr>
    </w:lvl>
    <w:lvl w:ilvl="4">
      <w:start w:val="1"/>
      <w:numFmt w:val="decimal"/>
      <w:isLgl w:val="false"/>
      <w:suff w:val="tab"/>
      <w:lvlText w:val="%1.%2.%3.%4.%5."/>
      <w:lvlJc w:val="left"/>
      <w:pPr>
        <w:ind w:left="2520" w:hanging="1080"/>
      </w:pPr>
      <w:rPr>
        <w:rFonts w:hint="default"/>
        <w:color w:val="auto"/>
      </w:rPr>
    </w:lvl>
    <w:lvl w:ilvl="5">
      <w:start w:val="1"/>
      <w:numFmt w:val="decimal"/>
      <w:isLgl w:val="false"/>
      <w:suff w:val="tab"/>
      <w:lvlText w:val="%1.%2.%3.%4.%5.%6."/>
      <w:lvlJc w:val="left"/>
      <w:pPr>
        <w:ind w:left="2880" w:hanging="1080"/>
      </w:pPr>
      <w:rPr>
        <w:rFonts w:hint="default"/>
        <w:color w:val="auto"/>
      </w:rPr>
    </w:lvl>
    <w:lvl w:ilvl="6">
      <w:start w:val="1"/>
      <w:numFmt w:val="decimal"/>
      <w:isLgl w:val="false"/>
      <w:suff w:val="tab"/>
      <w:lvlText w:val="%1.%2.%3.%4.%5.%6.%7."/>
      <w:lvlJc w:val="left"/>
      <w:pPr>
        <w:ind w:left="3600" w:hanging="1440"/>
      </w:pPr>
      <w:rPr>
        <w:rFonts w:hint="default"/>
        <w:color w:val="auto"/>
      </w:rPr>
    </w:lvl>
    <w:lvl w:ilvl="7">
      <w:start w:val="1"/>
      <w:numFmt w:val="decimal"/>
      <w:isLgl w:val="false"/>
      <w:suff w:val="tab"/>
      <w:lvlText w:val="%1.%2.%3.%4.%5.%6.%7.%8."/>
      <w:lvlJc w:val="left"/>
      <w:pPr>
        <w:ind w:left="3960" w:hanging="1440"/>
      </w:pPr>
      <w:rPr>
        <w:rFonts w:hint="default"/>
        <w:color w:val="auto"/>
      </w:rPr>
    </w:lvl>
    <w:lvl w:ilvl="8">
      <w:start w:val="1"/>
      <w:numFmt w:val="decimal"/>
      <w:isLgl w:val="false"/>
      <w:suff w:val="tab"/>
      <w:lvlText w:val="%1.%2.%3.%4.%5.%6.%7.%8.%9."/>
      <w:lvlJc w:val="left"/>
      <w:pPr>
        <w:ind w:left="4680" w:hanging="1800"/>
      </w:pPr>
      <w:rPr>
        <w:rFonts w:hint="default"/>
        <w:color w:val="auto"/>
      </w:rPr>
    </w:lvl>
  </w:abstractNum>
  <w:abstractNum w:abstractNumId="52">
    <w:multiLevelType w:val="hybridMultilevel"/>
    <w:lvl w:ilvl="0">
      <w:start w:val="5"/>
      <w:numFmt w:val="decimal"/>
      <w:isLgl w:val="false"/>
      <w:suff w:val="tab"/>
      <w:lvlText w:val="%1."/>
      <w:lvlJc w:val="left"/>
      <w:pPr>
        <w:ind w:left="720" w:hanging="360"/>
        <w:tabs>
          <w:tab w:val="num" w:pos="720" w:leader="none"/>
        </w:tabs>
      </w:pPr>
      <w:rPr>
        <w:b/>
      </w:rPr>
    </w:lvl>
    <w:lvl w:ilvl="1">
      <w:start w:val="6"/>
      <w:numFmt w:val="decimal"/>
      <w:isLgl w:val="false"/>
      <w:suff w:val="tab"/>
      <w:lvlText w:val="%1.%2."/>
      <w:lvlJc w:val="left"/>
      <w:pPr>
        <w:ind w:left="1070" w:hanging="360"/>
        <w:tabs>
          <w:tab w:val="num" w:pos="1070" w:leader="none"/>
        </w:tabs>
      </w:pPr>
      <w:rPr>
        <w:i w:val="0"/>
      </w:rPr>
    </w:lvl>
    <w:lvl w:ilvl="2">
      <w:start w:val="1"/>
      <w:numFmt w:val="decimal"/>
      <w:isLgl w:val="false"/>
      <w:suff w:val="tab"/>
      <w:lvlText w:val="%1.%2.%3."/>
      <w:lvlJc w:val="left"/>
      <w:pPr>
        <w:ind w:left="1440" w:hanging="360"/>
        <w:tabs>
          <w:tab w:val="num" w:pos="1440" w:leader="none"/>
        </w:tabs>
      </w:pPr>
      <w:rPr>
        <w:rFonts w:hint="default" w:ascii="Times New Roman" w:hAnsi="Times New Roman" w:cs="Times New Roman"/>
      </w:r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53">
    <w:multiLevelType w:val="hybridMultilevel"/>
    <w:lvl w:ilvl="0">
      <w:start w:val="5"/>
      <w:numFmt w:val="decimal"/>
      <w:isLgl w:val="false"/>
      <w:suff w:val="tab"/>
      <w:lvlText w:val="%1."/>
      <w:lvlJc w:val="left"/>
      <w:pPr>
        <w:ind w:left="720" w:hanging="360"/>
        <w:tabs>
          <w:tab w:val="num" w:pos="720" w:leader="none"/>
        </w:tabs>
      </w:pPr>
      <w:rPr>
        <w:b/>
      </w:rPr>
    </w:lvl>
    <w:lvl w:ilvl="1">
      <w:start w:val="6"/>
      <w:numFmt w:val="decimal"/>
      <w:isLgl w:val="false"/>
      <w:suff w:val="tab"/>
      <w:lvlText w:val="%1.%2."/>
      <w:lvlJc w:val="left"/>
      <w:pPr>
        <w:ind w:left="1070" w:hanging="360"/>
        <w:tabs>
          <w:tab w:val="num" w:pos="1070" w:leader="none"/>
        </w:tabs>
      </w:pPr>
      <w:rPr>
        <w:i w:val="0"/>
      </w:rPr>
    </w:lvl>
    <w:lvl w:ilvl="2">
      <w:start w:val="1"/>
      <w:numFmt w:val="decimal"/>
      <w:isLgl w:val="false"/>
      <w:suff w:val="tab"/>
      <w:lvlText w:val="%1.%2.%3."/>
      <w:lvlJc w:val="left"/>
      <w:pPr>
        <w:ind w:left="1440" w:hanging="360"/>
        <w:tabs>
          <w:tab w:val="num" w:pos="1440" w:leader="none"/>
        </w:tabs>
      </w:pPr>
      <w:rPr>
        <w:rFonts w:hint="default" w:ascii="Times New Roman" w:hAnsi="Times New Roman" w:cs="Times New Roman"/>
      </w:r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54">
    <w:multiLevelType w:val="hybridMultilevel"/>
    <w:lvl w:ilvl="0">
      <w:start w:val="5"/>
      <w:numFmt w:val="decimal"/>
      <w:isLgl w:val="false"/>
      <w:suff w:val="tab"/>
      <w:lvlText w:val="%1."/>
      <w:lvlJc w:val="left"/>
      <w:pPr>
        <w:ind w:left="720" w:hanging="360"/>
        <w:tabs>
          <w:tab w:val="num" w:pos="720" w:leader="none"/>
        </w:tabs>
      </w:pPr>
      <w:rPr>
        <w:b/>
      </w:rPr>
    </w:lvl>
    <w:lvl w:ilvl="1">
      <w:start w:val="6"/>
      <w:numFmt w:val="decimal"/>
      <w:isLgl w:val="false"/>
      <w:suff w:val="tab"/>
      <w:lvlText w:val="%1.%2."/>
      <w:lvlJc w:val="left"/>
      <w:pPr>
        <w:ind w:left="1070" w:hanging="360"/>
        <w:tabs>
          <w:tab w:val="num" w:pos="1070" w:leader="none"/>
        </w:tabs>
      </w:pPr>
      <w:rPr>
        <w:i w:val="0"/>
      </w:rPr>
    </w:lvl>
    <w:lvl w:ilvl="2">
      <w:start w:val="1"/>
      <w:numFmt w:val="decimal"/>
      <w:isLgl w:val="false"/>
      <w:suff w:val="tab"/>
      <w:lvlText w:val="%1.%2.%3."/>
      <w:lvlJc w:val="left"/>
      <w:pPr>
        <w:ind w:left="1440" w:hanging="360"/>
        <w:tabs>
          <w:tab w:val="num" w:pos="1440" w:leader="none"/>
        </w:tabs>
      </w:pPr>
      <w:rPr>
        <w:rFonts w:hint="default" w:ascii="Times New Roman" w:hAnsi="Times New Roman" w:cs="Times New Roman"/>
      </w:r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55">
    <w:multiLevelType w:val="hybridMultilevel"/>
    <w:lvl w:ilvl="0">
      <w:start w:val="5"/>
      <w:numFmt w:val="decimal"/>
      <w:isLgl w:val="false"/>
      <w:suff w:val="tab"/>
      <w:lvlText w:val="%1."/>
      <w:lvlJc w:val="left"/>
      <w:pPr>
        <w:ind w:left="720" w:hanging="360"/>
        <w:tabs>
          <w:tab w:val="num" w:pos="720" w:leader="none"/>
        </w:tabs>
      </w:pPr>
      <w:rPr>
        <w:b/>
      </w:rPr>
    </w:lvl>
    <w:lvl w:ilvl="1">
      <w:start w:val="6"/>
      <w:numFmt w:val="decimal"/>
      <w:isLgl w:val="false"/>
      <w:suff w:val="tab"/>
      <w:lvlText w:val="%1.%2."/>
      <w:lvlJc w:val="left"/>
      <w:pPr>
        <w:ind w:left="1070" w:hanging="360"/>
        <w:tabs>
          <w:tab w:val="num" w:pos="1070" w:leader="none"/>
        </w:tabs>
      </w:pPr>
      <w:rPr>
        <w:i w:val="0"/>
      </w:rPr>
    </w:lvl>
    <w:lvl w:ilvl="2">
      <w:start w:val="1"/>
      <w:numFmt w:val="decimal"/>
      <w:isLgl w:val="false"/>
      <w:suff w:val="tab"/>
      <w:lvlText w:val="%1.%2.%3."/>
      <w:lvlJc w:val="left"/>
      <w:pPr>
        <w:ind w:left="1440" w:hanging="360"/>
        <w:tabs>
          <w:tab w:val="num" w:pos="1440" w:leader="none"/>
        </w:tabs>
      </w:pPr>
      <w:rPr>
        <w:rFonts w:hint="default" w:ascii="Times New Roman" w:hAnsi="Times New Roman" w:cs="Times New Roman"/>
      </w:r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56">
    <w:multiLevelType w:val="hybridMultilevel"/>
    <w:lvl w:ilvl="0">
      <w:start w:val="5"/>
      <w:numFmt w:val="decimal"/>
      <w:isLgl w:val="false"/>
      <w:suff w:val="tab"/>
      <w:lvlText w:val="%1."/>
      <w:lvlJc w:val="left"/>
      <w:pPr>
        <w:ind w:left="720" w:hanging="360"/>
        <w:tabs>
          <w:tab w:val="num" w:pos="720" w:leader="none"/>
        </w:tabs>
      </w:pPr>
      <w:rPr>
        <w:b/>
      </w:rPr>
    </w:lvl>
    <w:lvl w:ilvl="1">
      <w:start w:val="6"/>
      <w:numFmt w:val="decimal"/>
      <w:isLgl w:val="false"/>
      <w:suff w:val="tab"/>
      <w:lvlText w:val="%1.%2."/>
      <w:lvlJc w:val="left"/>
      <w:pPr>
        <w:ind w:left="1070" w:hanging="360"/>
        <w:tabs>
          <w:tab w:val="num" w:pos="1070" w:leader="none"/>
        </w:tabs>
      </w:pPr>
      <w:rPr>
        <w:i w:val="0"/>
      </w:rPr>
    </w:lvl>
    <w:lvl w:ilvl="2">
      <w:start w:val="1"/>
      <w:numFmt w:val="decimal"/>
      <w:isLgl w:val="false"/>
      <w:suff w:val="tab"/>
      <w:lvlText w:val="%1.%2.%3."/>
      <w:lvlJc w:val="left"/>
      <w:pPr>
        <w:ind w:left="1440" w:hanging="360"/>
        <w:tabs>
          <w:tab w:val="num" w:pos="1440" w:leader="none"/>
        </w:tabs>
      </w:pPr>
      <w:rPr>
        <w:rFonts w:hint="default" w:ascii="Times New Roman" w:hAnsi="Times New Roman" w:cs="Times New Roman"/>
      </w:r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57">
    <w:multiLevelType w:val="hybridMultilevel"/>
    <w:lvl w:ilvl="0">
      <w:start w:val="5"/>
      <w:numFmt w:val="decimal"/>
      <w:isLgl w:val="false"/>
      <w:suff w:val="tab"/>
      <w:lvlText w:val="%1."/>
      <w:lvlJc w:val="left"/>
      <w:pPr>
        <w:ind w:left="720" w:hanging="360"/>
        <w:tabs>
          <w:tab w:val="num" w:pos="720" w:leader="none"/>
        </w:tabs>
      </w:pPr>
      <w:rPr>
        <w:b/>
      </w:rPr>
    </w:lvl>
    <w:lvl w:ilvl="1">
      <w:start w:val="6"/>
      <w:numFmt w:val="decimal"/>
      <w:isLgl w:val="false"/>
      <w:suff w:val="tab"/>
      <w:lvlText w:val="%1.%2."/>
      <w:lvlJc w:val="left"/>
      <w:pPr>
        <w:ind w:left="1070" w:hanging="360"/>
        <w:tabs>
          <w:tab w:val="num" w:pos="1070" w:leader="none"/>
        </w:tabs>
      </w:pPr>
      <w:rPr>
        <w:i w:val="0"/>
      </w:rPr>
    </w:lvl>
    <w:lvl w:ilvl="2">
      <w:start w:val="1"/>
      <w:numFmt w:val="decimal"/>
      <w:isLgl w:val="false"/>
      <w:suff w:val="tab"/>
      <w:lvlText w:val="%1.%2.%3."/>
      <w:lvlJc w:val="left"/>
      <w:pPr>
        <w:ind w:left="1440" w:hanging="360"/>
        <w:tabs>
          <w:tab w:val="num" w:pos="1440" w:leader="none"/>
        </w:tabs>
      </w:pPr>
      <w:rPr>
        <w:rFonts w:hint="default" w:ascii="Times New Roman" w:hAnsi="Times New Roman" w:cs="Times New Roman"/>
      </w:r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58">
    <w:multiLevelType w:val="hybridMultilevel"/>
    <w:lvl w:ilvl="0">
      <w:start w:val="5"/>
      <w:numFmt w:val="decimal"/>
      <w:isLgl w:val="false"/>
      <w:suff w:val="tab"/>
      <w:lvlText w:val="%1."/>
      <w:lvlJc w:val="left"/>
      <w:pPr>
        <w:ind w:left="720" w:hanging="360"/>
        <w:tabs>
          <w:tab w:val="num" w:pos="720" w:leader="none"/>
        </w:tabs>
      </w:pPr>
      <w:rPr>
        <w:b/>
      </w:rPr>
    </w:lvl>
    <w:lvl w:ilvl="1">
      <w:start w:val="6"/>
      <w:numFmt w:val="decimal"/>
      <w:isLgl w:val="false"/>
      <w:suff w:val="tab"/>
      <w:lvlText w:val="%1.%2."/>
      <w:lvlJc w:val="left"/>
      <w:pPr>
        <w:ind w:left="1070" w:hanging="360"/>
        <w:tabs>
          <w:tab w:val="num" w:pos="1070" w:leader="none"/>
        </w:tabs>
      </w:pPr>
      <w:rPr>
        <w:i w:val="0"/>
      </w:rPr>
    </w:lvl>
    <w:lvl w:ilvl="2">
      <w:start w:val="1"/>
      <w:numFmt w:val="decimal"/>
      <w:isLgl w:val="false"/>
      <w:suff w:val="tab"/>
      <w:lvlText w:val="%1.%2.%3."/>
      <w:lvlJc w:val="left"/>
      <w:pPr>
        <w:ind w:left="1440" w:hanging="360"/>
        <w:tabs>
          <w:tab w:val="num" w:pos="1440" w:leader="none"/>
        </w:tabs>
      </w:pPr>
      <w:rPr>
        <w:rFonts w:hint="default" w:ascii="Times New Roman" w:hAnsi="Times New Roman" w:cs="Times New Roman"/>
      </w:r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59">
    <w:multiLevelType w:val="hybridMultilevel"/>
    <w:lvl w:ilvl="0">
      <w:start w:val="5"/>
      <w:numFmt w:val="decimal"/>
      <w:isLgl w:val="false"/>
      <w:suff w:val="tab"/>
      <w:lvlText w:val="%1."/>
      <w:lvlJc w:val="left"/>
      <w:pPr>
        <w:ind w:left="720" w:hanging="360"/>
        <w:tabs>
          <w:tab w:val="num" w:pos="720" w:leader="none"/>
        </w:tabs>
      </w:pPr>
      <w:rPr>
        <w:b/>
      </w:rPr>
    </w:lvl>
    <w:lvl w:ilvl="1">
      <w:start w:val="6"/>
      <w:numFmt w:val="decimal"/>
      <w:isLgl w:val="false"/>
      <w:suff w:val="tab"/>
      <w:lvlText w:val="%1.%2."/>
      <w:lvlJc w:val="left"/>
      <w:pPr>
        <w:ind w:left="1070" w:hanging="360"/>
        <w:tabs>
          <w:tab w:val="num" w:pos="1070" w:leader="none"/>
        </w:tabs>
      </w:pPr>
      <w:rPr>
        <w:i w:val="0"/>
      </w:rPr>
    </w:lvl>
    <w:lvl w:ilvl="2">
      <w:start w:val="1"/>
      <w:numFmt w:val="decimal"/>
      <w:isLgl w:val="false"/>
      <w:suff w:val="tab"/>
      <w:lvlText w:val="%1.%2.%3."/>
      <w:lvlJc w:val="left"/>
      <w:pPr>
        <w:ind w:left="1440" w:hanging="360"/>
        <w:tabs>
          <w:tab w:val="num" w:pos="1440" w:leader="none"/>
        </w:tabs>
      </w:pPr>
      <w:rPr>
        <w:rFonts w:hint="default" w:ascii="Times New Roman" w:hAnsi="Times New Roman" w:cs="Times New Roman"/>
      </w:r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60">
    <w:multiLevelType w:val="hybridMultilevel"/>
    <w:lvl w:ilvl="0">
      <w:start w:val="5"/>
      <w:numFmt w:val="decimal"/>
      <w:isLgl w:val="false"/>
      <w:suff w:val="tab"/>
      <w:lvlText w:val="%1."/>
      <w:lvlJc w:val="left"/>
      <w:pPr>
        <w:ind w:left="720" w:hanging="360"/>
        <w:tabs>
          <w:tab w:val="num" w:pos="720" w:leader="none"/>
        </w:tabs>
      </w:pPr>
      <w:rPr>
        <w:b/>
      </w:rPr>
    </w:lvl>
    <w:lvl w:ilvl="1">
      <w:start w:val="6"/>
      <w:numFmt w:val="decimal"/>
      <w:isLgl w:val="false"/>
      <w:suff w:val="tab"/>
      <w:lvlText w:val="%1.%2."/>
      <w:lvlJc w:val="left"/>
      <w:pPr>
        <w:ind w:left="1070" w:hanging="360"/>
        <w:tabs>
          <w:tab w:val="num" w:pos="1070" w:leader="none"/>
        </w:tabs>
      </w:pPr>
      <w:rPr>
        <w:i w:val="0"/>
      </w:rPr>
    </w:lvl>
    <w:lvl w:ilvl="2">
      <w:start w:val="1"/>
      <w:numFmt w:val="decimal"/>
      <w:isLgl w:val="false"/>
      <w:suff w:val="tab"/>
      <w:lvlText w:val="%1.%2.%3."/>
      <w:lvlJc w:val="left"/>
      <w:pPr>
        <w:ind w:left="1440" w:hanging="360"/>
        <w:tabs>
          <w:tab w:val="num" w:pos="1440" w:leader="none"/>
        </w:tabs>
      </w:pPr>
      <w:rPr>
        <w:rFonts w:hint="default" w:ascii="Times New Roman" w:hAnsi="Times New Roman" w:cs="Times New Roman"/>
      </w:r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61">
    <w:multiLevelType w:val="hybridMultilevel"/>
    <w:lvl w:ilvl="0">
      <w:start w:val="5"/>
      <w:numFmt w:val="decimal"/>
      <w:isLgl w:val="false"/>
      <w:suff w:val="tab"/>
      <w:lvlText w:val="%1."/>
      <w:lvlJc w:val="left"/>
      <w:pPr>
        <w:ind w:left="720" w:hanging="360"/>
        <w:tabs>
          <w:tab w:val="num" w:pos="720" w:leader="none"/>
        </w:tabs>
      </w:pPr>
      <w:rPr>
        <w:b/>
      </w:rPr>
    </w:lvl>
    <w:lvl w:ilvl="1">
      <w:start w:val="6"/>
      <w:numFmt w:val="decimal"/>
      <w:isLgl w:val="false"/>
      <w:suff w:val="tab"/>
      <w:lvlText w:val="%1.%2."/>
      <w:lvlJc w:val="left"/>
      <w:pPr>
        <w:ind w:left="1070" w:hanging="360"/>
        <w:tabs>
          <w:tab w:val="num" w:pos="1070" w:leader="none"/>
        </w:tabs>
      </w:pPr>
      <w:rPr>
        <w:i w:val="0"/>
      </w:rPr>
    </w:lvl>
    <w:lvl w:ilvl="2">
      <w:start w:val="1"/>
      <w:numFmt w:val="decimal"/>
      <w:isLgl w:val="false"/>
      <w:suff w:val="tab"/>
      <w:lvlText w:val="%1.%2.%3."/>
      <w:lvlJc w:val="left"/>
      <w:pPr>
        <w:ind w:left="1440" w:hanging="360"/>
        <w:tabs>
          <w:tab w:val="num" w:pos="1440" w:leader="none"/>
        </w:tabs>
      </w:pPr>
      <w:rPr>
        <w:rFonts w:hint="default" w:ascii="Times New Roman" w:hAnsi="Times New Roman" w:cs="Times New Roman"/>
      </w:r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62">
    <w:multiLevelType w:val="hybridMultilevel"/>
    <w:lvl w:ilvl="0">
      <w:start w:val="5"/>
      <w:numFmt w:val="decimal"/>
      <w:isLgl w:val="false"/>
      <w:suff w:val="tab"/>
      <w:lvlText w:val="%1."/>
      <w:lvlJc w:val="left"/>
      <w:pPr>
        <w:ind w:left="720" w:hanging="360"/>
        <w:tabs>
          <w:tab w:val="num" w:pos="720" w:leader="none"/>
        </w:tabs>
      </w:pPr>
      <w:rPr>
        <w:b/>
      </w:rPr>
    </w:lvl>
    <w:lvl w:ilvl="1">
      <w:start w:val="6"/>
      <w:numFmt w:val="decimal"/>
      <w:isLgl w:val="false"/>
      <w:suff w:val="tab"/>
      <w:lvlText w:val="%1.%2."/>
      <w:lvlJc w:val="left"/>
      <w:pPr>
        <w:ind w:left="1070" w:hanging="360"/>
        <w:tabs>
          <w:tab w:val="num" w:pos="1070" w:leader="none"/>
        </w:tabs>
      </w:pPr>
      <w:rPr>
        <w:i w:val="0"/>
      </w:rPr>
    </w:lvl>
    <w:lvl w:ilvl="2">
      <w:start w:val="1"/>
      <w:numFmt w:val="decimal"/>
      <w:isLgl w:val="false"/>
      <w:suff w:val="tab"/>
      <w:lvlText w:val="%1.%2.%3."/>
      <w:lvlJc w:val="left"/>
      <w:pPr>
        <w:ind w:left="1440" w:hanging="360"/>
        <w:tabs>
          <w:tab w:val="num" w:pos="1440" w:leader="none"/>
        </w:tabs>
      </w:pPr>
      <w:rPr>
        <w:rFonts w:hint="default" w:ascii="Times New Roman" w:hAnsi="Times New Roman" w:cs="Times New Roman"/>
      </w:r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63">
    <w:multiLevelType w:val="hybridMultilevel"/>
    <w:lvl w:ilvl="0">
      <w:start w:val="5"/>
      <w:numFmt w:val="decimal"/>
      <w:isLgl w:val="false"/>
      <w:suff w:val="tab"/>
      <w:lvlText w:val="%1."/>
      <w:lvlJc w:val="left"/>
      <w:pPr>
        <w:ind w:left="720" w:hanging="360"/>
        <w:tabs>
          <w:tab w:val="num" w:pos="720" w:leader="none"/>
        </w:tabs>
      </w:pPr>
      <w:rPr>
        <w:b/>
      </w:rPr>
    </w:lvl>
    <w:lvl w:ilvl="1">
      <w:start w:val="6"/>
      <w:numFmt w:val="decimal"/>
      <w:isLgl w:val="false"/>
      <w:suff w:val="tab"/>
      <w:lvlText w:val="%1.%2."/>
      <w:lvlJc w:val="left"/>
      <w:pPr>
        <w:ind w:left="1070" w:hanging="360"/>
        <w:tabs>
          <w:tab w:val="num" w:pos="1070" w:leader="none"/>
        </w:tabs>
      </w:pPr>
      <w:rPr>
        <w:i w:val="0"/>
      </w:rPr>
    </w:lvl>
    <w:lvl w:ilvl="2">
      <w:start w:val="1"/>
      <w:numFmt w:val="decimal"/>
      <w:isLgl w:val="false"/>
      <w:suff w:val="tab"/>
      <w:lvlText w:val="%1.%2.%3."/>
      <w:lvlJc w:val="left"/>
      <w:pPr>
        <w:ind w:left="1440" w:hanging="360"/>
        <w:tabs>
          <w:tab w:val="num" w:pos="1440" w:leader="none"/>
        </w:tabs>
      </w:pPr>
      <w:rPr>
        <w:rFonts w:hint="default" w:ascii="Times New Roman" w:hAnsi="Times New Roman" w:cs="Times New Roman"/>
      </w:r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64">
    <w:multiLevelType w:val="hybridMultilevel"/>
    <w:lvl w:ilvl="0">
      <w:start w:val="5"/>
      <w:numFmt w:val="decimal"/>
      <w:isLgl w:val="false"/>
      <w:suff w:val="tab"/>
      <w:lvlText w:val="%1."/>
      <w:lvlJc w:val="left"/>
      <w:pPr>
        <w:ind w:left="720" w:hanging="360"/>
        <w:tabs>
          <w:tab w:val="num" w:pos="720" w:leader="none"/>
        </w:tabs>
      </w:pPr>
      <w:rPr>
        <w:b/>
      </w:rPr>
    </w:lvl>
    <w:lvl w:ilvl="1">
      <w:start w:val="6"/>
      <w:numFmt w:val="decimal"/>
      <w:isLgl w:val="false"/>
      <w:suff w:val="tab"/>
      <w:lvlText w:val="%1.%2."/>
      <w:lvlJc w:val="left"/>
      <w:pPr>
        <w:ind w:left="1070" w:hanging="360"/>
        <w:tabs>
          <w:tab w:val="num" w:pos="1070" w:leader="none"/>
        </w:tabs>
      </w:pPr>
      <w:rPr>
        <w:i w:val="0"/>
      </w:rPr>
    </w:lvl>
    <w:lvl w:ilvl="2">
      <w:start w:val="1"/>
      <w:numFmt w:val="decimal"/>
      <w:isLgl w:val="false"/>
      <w:suff w:val="tab"/>
      <w:lvlText w:val="%1.%2.%3."/>
      <w:lvlJc w:val="left"/>
      <w:pPr>
        <w:ind w:left="1440" w:hanging="360"/>
        <w:tabs>
          <w:tab w:val="num" w:pos="1440" w:leader="none"/>
        </w:tabs>
      </w:pPr>
      <w:rPr>
        <w:rFonts w:hint="default" w:ascii="Times New Roman" w:hAnsi="Times New Roman" w:cs="Times New Roman"/>
      </w:r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65">
    <w:multiLevelType w:val="hybridMultilevel"/>
    <w:lvl w:ilvl="0">
      <w:start w:val="5"/>
      <w:numFmt w:val="decimal"/>
      <w:isLgl w:val="false"/>
      <w:suff w:val="tab"/>
      <w:lvlText w:val="%1."/>
      <w:lvlJc w:val="left"/>
      <w:pPr>
        <w:ind w:left="720" w:hanging="360"/>
        <w:tabs>
          <w:tab w:val="num" w:pos="720" w:leader="none"/>
        </w:tabs>
      </w:pPr>
      <w:rPr>
        <w:b/>
      </w:rPr>
    </w:lvl>
    <w:lvl w:ilvl="1">
      <w:start w:val="19"/>
      <w:numFmt w:val="decimal"/>
      <w:isLgl w:val="false"/>
      <w:suff w:val="tab"/>
      <w:lvlText w:val="%1.%2."/>
      <w:lvlJc w:val="left"/>
      <w:pPr>
        <w:ind w:left="1070" w:hanging="360"/>
        <w:tabs>
          <w:tab w:val="num" w:pos="1070" w:leader="none"/>
        </w:tabs>
      </w:pPr>
      <w:rPr>
        <w:i w:val="0"/>
      </w:rPr>
    </w:lvl>
    <w:lvl w:ilvl="2">
      <w:start w:val="1"/>
      <w:numFmt w:val="decimal"/>
      <w:isLgl w:val="false"/>
      <w:suff w:val="tab"/>
      <w:lvlText w:val="%1.%2.%3."/>
      <w:lvlJc w:val="left"/>
      <w:pPr>
        <w:ind w:left="1440" w:hanging="360"/>
        <w:tabs>
          <w:tab w:val="num" w:pos="1440" w:leader="none"/>
        </w:tabs>
      </w:pPr>
      <w:rPr>
        <w:rFonts w:hint="default" w:ascii="Times New Roman" w:hAnsi="Times New Roman" w:cs="Times New Roman"/>
      </w:r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66">
    <w:multiLevelType w:val="hybridMultilevel"/>
    <w:lvl w:ilvl="0">
      <w:start w:val="5"/>
      <w:numFmt w:val="decimal"/>
      <w:isLgl w:val="false"/>
      <w:suff w:val="tab"/>
      <w:lvlText w:val="%1."/>
      <w:lvlJc w:val="left"/>
      <w:pPr>
        <w:ind w:left="720" w:hanging="360"/>
        <w:tabs>
          <w:tab w:val="num" w:pos="720" w:leader="none"/>
        </w:tabs>
      </w:pPr>
      <w:rPr>
        <w:b/>
      </w:rPr>
    </w:lvl>
    <w:lvl w:ilvl="1">
      <w:start w:val="19"/>
      <w:numFmt w:val="decimal"/>
      <w:isLgl w:val="false"/>
      <w:suff w:val="tab"/>
      <w:lvlText w:val="%1.%2."/>
      <w:lvlJc w:val="left"/>
      <w:pPr>
        <w:ind w:left="1070" w:hanging="360"/>
        <w:tabs>
          <w:tab w:val="num" w:pos="1070" w:leader="none"/>
        </w:tabs>
      </w:pPr>
      <w:rPr>
        <w:i w:val="0"/>
      </w:rPr>
    </w:lvl>
    <w:lvl w:ilvl="2">
      <w:start w:val="1"/>
      <w:numFmt w:val="decimal"/>
      <w:isLgl w:val="false"/>
      <w:suff w:val="tab"/>
      <w:lvlText w:val="%1.%2.%3."/>
      <w:lvlJc w:val="left"/>
      <w:pPr>
        <w:ind w:left="1440" w:hanging="360"/>
        <w:tabs>
          <w:tab w:val="num" w:pos="1440" w:leader="none"/>
        </w:tabs>
      </w:pPr>
      <w:rPr>
        <w:rFonts w:hint="default" w:ascii="Times New Roman" w:hAnsi="Times New Roman" w:cs="Times New Roman"/>
      </w:r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67">
    <w:multiLevelType w:val="hybridMultilevel"/>
    <w:lvl w:ilvl="0">
      <w:start w:val="5"/>
      <w:numFmt w:val="decimal"/>
      <w:isLgl w:val="false"/>
      <w:suff w:val="tab"/>
      <w:lvlText w:val="%1."/>
      <w:lvlJc w:val="left"/>
      <w:pPr>
        <w:ind w:left="720" w:hanging="360"/>
        <w:tabs>
          <w:tab w:val="num" w:pos="720" w:leader="none"/>
        </w:tabs>
      </w:pPr>
      <w:rPr>
        <w:b/>
      </w:rPr>
    </w:lvl>
    <w:lvl w:ilvl="1">
      <w:start w:val="19"/>
      <w:numFmt w:val="decimal"/>
      <w:isLgl w:val="false"/>
      <w:suff w:val="tab"/>
      <w:lvlText w:val="%1.%2."/>
      <w:lvlJc w:val="left"/>
      <w:pPr>
        <w:ind w:left="1070" w:hanging="360"/>
        <w:tabs>
          <w:tab w:val="num" w:pos="1070" w:leader="none"/>
        </w:tabs>
      </w:pPr>
      <w:rPr>
        <w:i w:val="0"/>
      </w:rPr>
    </w:lvl>
    <w:lvl w:ilvl="2">
      <w:start w:val="1"/>
      <w:numFmt w:val="decimal"/>
      <w:isLgl w:val="false"/>
      <w:suff w:val="tab"/>
      <w:lvlText w:val="%1.%2.%3."/>
      <w:lvlJc w:val="left"/>
      <w:pPr>
        <w:ind w:left="1440" w:hanging="360"/>
        <w:tabs>
          <w:tab w:val="num" w:pos="1440" w:leader="none"/>
        </w:tabs>
      </w:pPr>
      <w:rPr>
        <w:rFonts w:hint="default" w:ascii="Times New Roman" w:hAnsi="Times New Roman" w:cs="Times New Roman"/>
      </w:r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68">
    <w:multiLevelType w:val="hybridMultilevel"/>
    <w:lvl w:ilvl="0">
      <w:start w:val="5"/>
      <w:numFmt w:val="decimal"/>
      <w:isLgl w:val="false"/>
      <w:suff w:val="tab"/>
      <w:lvlText w:val="%1."/>
      <w:lvlJc w:val="left"/>
      <w:pPr>
        <w:ind w:left="720" w:hanging="360"/>
        <w:tabs>
          <w:tab w:val="num" w:pos="720" w:leader="none"/>
        </w:tabs>
      </w:pPr>
      <w:rPr>
        <w:b/>
      </w:rPr>
    </w:lvl>
    <w:lvl w:ilvl="1">
      <w:start w:val="21"/>
      <w:numFmt w:val="decimal"/>
      <w:isLgl w:val="false"/>
      <w:suff w:val="tab"/>
      <w:lvlText w:val="%1.%2."/>
      <w:lvlJc w:val="left"/>
      <w:pPr>
        <w:ind w:left="1070" w:hanging="360"/>
        <w:tabs>
          <w:tab w:val="num" w:pos="1070" w:leader="none"/>
        </w:tabs>
      </w:pPr>
      <w:rPr>
        <w:i w:val="0"/>
      </w:rPr>
    </w:lvl>
    <w:lvl w:ilvl="2">
      <w:start w:val="1"/>
      <w:numFmt w:val="decimal"/>
      <w:isLgl w:val="false"/>
      <w:suff w:val="tab"/>
      <w:lvlText w:val="%1.%2.%3."/>
      <w:lvlJc w:val="left"/>
      <w:pPr>
        <w:ind w:left="1440" w:hanging="360"/>
        <w:tabs>
          <w:tab w:val="num" w:pos="1440" w:leader="none"/>
        </w:tabs>
      </w:pPr>
      <w:rPr>
        <w:rFonts w:hint="default" w:ascii="Times New Roman" w:hAnsi="Times New Roman" w:cs="Times New Roman"/>
      </w:r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69">
    <w:multiLevelType w:val="hybridMultilevel"/>
    <w:lvl w:ilvl="0">
      <w:start w:val="5"/>
      <w:numFmt w:val="decimal"/>
      <w:isLgl w:val="false"/>
      <w:suff w:val="tab"/>
      <w:lvlText w:val="%1."/>
      <w:lvlJc w:val="left"/>
      <w:pPr>
        <w:ind w:left="720" w:hanging="360"/>
        <w:tabs>
          <w:tab w:val="num" w:pos="720" w:leader="none"/>
        </w:tabs>
      </w:pPr>
      <w:rPr>
        <w:b/>
      </w:rPr>
    </w:lvl>
    <w:lvl w:ilvl="1">
      <w:start w:val="19"/>
      <w:numFmt w:val="decimal"/>
      <w:isLgl w:val="false"/>
      <w:suff w:val="tab"/>
      <w:lvlText w:val="%1.%2."/>
      <w:lvlJc w:val="left"/>
      <w:pPr>
        <w:ind w:left="1070" w:hanging="360"/>
        <w:tabs>
          <w:tab w:val="num" w:pos="1070" w:leader="none"/>
        </w:tabs>
      </w:pPr>
      <w:rPr>
        <w:i w:val="0"/>
      </w:rPr>
    </w:lvl>
    <w:lvl w:ilvl="2">
      <w:start w:val="1"/>
      <w:numFmt w:val="decimal"/>
      <w:isLgl w:val="false"/>
      <w:suff w:val="tab"/>
      <w:lvlText w:val="%1.%2.%3."/>
      <w:lvlJc w:val="left"/>
      <w:pPr>
        <w:ind w:left="1440" w:hanging="360"/>
        <w:tabs>
          <w:tab w:val="num" w:pos="1440" w:leader="none"/>
        </w:tabs>
      </w:pPr>
      <w:rPr>
        <w:rFonts w:hint="default" w:ascii="Times New Roman" w:hAnsi="Times New Roman" w:cs="Times New Roman"/>
      </w:r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70">
    <w:multiLevelType w:val="hybridMultilevel"/>
    <w:lvl w:ilvl="0">
      <w:start w:val="5"/>
      <w:numFmt w:val="decimal"/>
      <w:isLgl w:val="false"/>
      <w:suff w:val="tab"/>
      <w:lvlText w:val="%1."/>
      <w:lvlJc w:val="left"/>
      <w:pPr>
        <w:ind w:left="720" w:hanging="360"/>
        <w:tabs>
          <w:tab w:val="num" w:pos="720" w:leader="none"/>
        </w:tabs>
      </w:pPr>
      <w:rPr>
        <w:b/>
      </w:rPr>
    </w:lvl>
    <w:lvl w:ilvl="1">
      <w:start w:val="19"/>
      <w:numFmt w:val="decimal"/>
      <w:isLgl w:val="false"/>
      <w:suff w:val="tab"/>
      <w:lvlText w:val="%1.%2."/>
      <w:lvlJc w:val="left"/>
      <w:pPr>
        <w:ind w:left="1070" w:hanging="360"/>
        <w:tabs>
          <w:tab w:val="num" w:pos="1070" w:leader="none"/>
        </w:tabs>
      </w:pPr>
      <w:rPr>
        <w:i w:val="0"/>
      </w:rPr>
    </w:lvl>
    <w:lvl w:ilvl="2">
      <w:start w:val="1"/>
      <w:numFmt w:val="decimal"/>
      <w:isLgl w:val="false"/>
      <w:suff w:val="tab"/>
      <w:lvlText w:val="%1.%2.%3."/>
      <w:lvlJc w:val="left"/>
      <w:pPr>
        <w:ind w:left="1440" w:hanging="360"/>
        <w:tabs>
          <w:tab w:val="num" w:pos="1440" w:leader="none"/>
        </w:tabs>
      </w:pPr>
      <w:rPr>
        <w:rFonts w:hint="default" w:ascii="Times New Roman" w:hAnsi="Times New Roman" w:cs="Times New Roman"/>
      </w:r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71">
    <w:multiLevelType w:val="hybridMultilevel"/>
    <w:lvl w:ilvl="0">
      <w:start w:val="5"/>
      <w:numFmt w:val="decimal"/>
      <w:isLgl w:val="false"/>
      <w:suff w:val="tab"/>
      <w:lvlText w:val="%1."/>
      <w:lvlJc w:val="left"/>
      <w:pPr>
        <w:ind w:left="720" w:hanging="360"/>
        <w:tabs>
          <w:tab w:val="num" w:pos="720" w:leader="none"/>
        </w:tabs>
      </w:pPr>
      <w:rPr>
        <w:b/>
      </w:rPr>
    </w:lvl>
    <w:lvl w:ilvl="1">
      <w:start w:val="19"/>
      <w:numFmt w:val="decimal"/>
      <w:isLgl w:val="false"/>
      <w:suff w:val="tab"/>
      <w:lvlText w:val="%1.%2."/>
      <w:lvlJc w:val="left"/>
      <w:pPr>
        <w:ind w:left="1070" w:hanging="360"/>
        <w:tabs>
          <w:tab w:val="num" w:pos="1070" w:leader="none"/>
        </w:tabs>
      </w:pPr>
      <w:rPr>
        <w:i w:val="0"/>
      </w:rPr>
    </w:lvl>
    <w:lvl w:ilvl="2">
      <w:start w:val="1"/>
      <w:numFmt w:val="decimal"/>
      <w:isLgl w:val="false"/>
      <w:suff w:val="tab"/>
      <w:lvlText w:val="%1.%2.%3."/>
      <w:lvlJc w:val="left"/>
      <w:pPr>
        <w:ind w:left="1440" w:hanging="360"/>
        <w:tabs>
          <w:tab w:val="num" w:pos="1440" w:leader="none"/>
        </w:tabs>
      </w:pPr>
      <w:rPr>
        <w:rFonts w:hint="default" w:ascii="Times New Roman" w:hAnsi="Times New Roman" w:cs="Times New Roman"/>
      </w:r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72">
    <w:multiLevelType w:val="hybridMultilevel"/>
    <w:lvl w:ilvl="0">
      <w:start w:val="5"/>
      <w:numFmt w:val="decimal"/>
      <w:isLgl w:val="false"/>
      <w:suff w:val="tab"/>
      <w:lvlText w:val="%1."/>
      <w:lvlJc w:val="left"/>
      <w:pPr>
        <w:ind w:left="720" w:hanging="360"/>
        <w:tabs>
          <w:tab w:val="num" w:pos="720" w:leader="none"/>
        </w:tabs>
      </w:pPr>
      <w:rPr>
        <w:b/>
      </w:rPr>
    </w:lvl>
    <w:lvl w:ilvl="1">
      <w:start w:val="19"/>
      <w:numFmt w:val="decimal"/>
      <w:isLgl w:val="false"/>
      <w:suff w:val="tab"/>
      <w:lvlText w:val="%1.%2."/>
      <w:lvlJc w:val="left"/>
      <w:pPr>
        <w:ind w:left="1070" w:hanging="360"/>
        <w:tabs>
          <w:tab w:val="num" w:pos="1070" w:leader="none"/>
        </w:tabs>
      </w:pPr>
      <w:rPr>
        <w:i w:val="0"/>
      </w:rPr>
    </w:lvl>
    <w:lvl w:ilvl="2">
      <w:start w:val="1"/>
      <w:numFmt w:val="decimal"/>
      <w:isLgl w:val="false"/>
      <w:suff w:val="tab"/>
      <w:lvlText w:val="%1.%2.%3."/>
      <w:lvlJc w:val="left"/>
      <w:pPr>
        <w:ind w:left="1440" w:hanging="360"/>
        <w:tabs>
          <w:tab w:val="num" w:pos="1440" w:leader="none"/>
        </w:tabs>
      </w:pPr>
      <w:rPr>
        <w:rFonts w:hint="default" w:ascii="Times New Roman" w:hAnsi="Times New Roman" w:cs="Times New Roman"/>
      </w:r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73">
    <w:multiLevelType w:val="hybridMultilevel"/>
    <w:lvl w:ilvl="0">
      <w:start w:val="5"/>
      <w:numFmt w:val="decimal"/>
      <w:isLgl w:val="false"/>
      <w:suff w:val="tab"/>
      <w:lvlText w:val="%1."/>
      <w:lvlJc w:val="left"/>
      <w:pPr>
        <w:ind w:left="720" w:hanging="360"/>
        <w:tabs>
          <w:tab w:val="num" w:pos="720" w:leader="none"/>
        </w:tabs>
      </w:pPr>
      <w:rPr>
        <w:b/>
      </w:rPr>
    </w:lvl>
    <w:lvl w:ilvl="1">
      <w:start w:val="19"/>
      <w:numFmt w:val="decimal"/>
      <w:isLgl w:val="false"/>
      <w:suff w:val="tab"/>
      <w:lvlText w:val="%1.%2."/>
      <w:lvlJc w:val="left"/>
      <w:pPr>
        <w:ind w:left="1070" w:hanging="360"/>
        <w:tabs>
          <w:tab w:val="num" w:pos="1070" w:leader="none"/>
        </w:tabs>
      </w:pPr>
      <w:rPr>
        <w:i w:val="0"/>
      </w:rPr>
    </w:lvl>
    <w:lvl w:ilvl="2">
      <w:start w:val="1"/>
      <w:numFmt w:val="decimal"/>
      <w:isLgl w:val="false"/>
      <w:suff w:val="tab"/>
      <w:lvlText w:val="%1.%2.%3."/>
      <w:lvlJc w:val="left"/>
      <w:pPr>
        <w:ind w:left="1440" w:hanging="360"/>
        <w:tabs>
          <w:tab w:val="num" w:pos="1440" w:leader="none"/>
        </w:tabs>
      </w:pPr>
      <w:rPr>
        <w:rFonts w:hint="default" w:ascii="Times New Roman" w:hAnsi="Times New Roman" w:cs="Times New Roman"/>
      </w:r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74">
    <w:multiLevelType w:val="hybridMultilevel"/>
    <w:lvl w:ilvl="0">
      <w:start w:val="5"/>
      <w:numFmt w:val="decimal"/>
      <w:isLgl w:val="false"/>
      <w:suff w:val="tab"/>
      <w:lvlText w:val="%1."/>
      <w:lvlJc w:val="left"/>
      <w:pPr>
        <w:ind w:left="720" w:hanging="360"/>
        <w:tabs>
          <w:tab w:val="num" w:pos="720" w:leader="none"/>
        </w:tabs>
      </w:pPr>
      <w:rPr>
        <w:b/>
      </w:rPr>
    </w:lvl>
    <w:lvl w:ilvl="1">
      <w:start w:val="19"/>
      <w:numFmt w:val="decimal"/>
      <w:isLgl w:val="false"/>
      <w:suff w:val="tab"/>
      <w:lvlText w:val="%1.%2."/>
      <w:lvlJc w:val="left"/>
      <w:pPr>
        <w:ind w:left="1070" w:hanging="360"/>
        <w:tabs>
          <w:tab w:val="num" w:pos="1070" w:leader="none"/>
        </w:tabs>
      </w:pPr>
      <w:rPr>
        <w:i w:val="0"/>
      </w:rPr>
    </w:lvl>
    <w:lvl w:ilvl="2">
      <w:start w:val="1"/>
      <w:numFmt w:val="decimal"/>
      <w:isLgl w:val="false"/>
      <w:suff w:val="tab"/>
      <w:lvlText w:val="%1.%2.%3."/>
      <w:lvlJc w:val="left"/>
      <w:pPr>
        <w:ind w:left="1440" w:hanging="360"/>
        <w:tabs>
          <w:tab w:val="num" w:pos="1440" w:leader="none"/>
        </w:tabs>
      </w:pPr>
      <w:rPr>
        <w:rFonts w:hint="default" w:ascii="Times New Roman" w:hAnsi="Times New Roman" w:cs="Times New Roman"/>
      </w:r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75">
    <w:multiLevelType w:val="hybridMultilevel"/>
    <w:lvl w:ilvl="0">
      <w:start w:val="5"/>
      <w:numFmt w:val="decimal"/>
      <w:isLgl w:val="false"/>
      <w:suff w:val="tab"/>
      <w:lvlText w:val="%1."/>
      <w:lvlJc w:val="left"/>
      <w:pPr>
        <w:ind w:left="720" w:hanging="360"/>
        <w:tabs>
          <w:tab w:val="num" w:pos="720" w:leader="none"/>
        </w:tabs>
      </w:pPr>
      <w:rPr>
        <w:b/>
      </w:rPr>
    </w:lvl>
    <w:lvl w:ilvl="1">
      <w:start w:val="19"/>
      <w:numFmt w:val="decimal"/>
      <w:isLgl w:val="false"/>
      <w:suff w:val="tab"/>
      <w:lvlText w:val="%1.%2."/>
      <w:lvlJc w:val="left"/>
      <w:pPr>
        <w:ind w:left="1070" w:hanging="360"/>
        <w:tabs>
          <w:tab w:val="num" w:pos="1070" w:leader="none"/>
        </w:tabs>
      </w:pPr>
      <w:rPr>
        <w:i w:val="0"/>
      </w:rPr>
    </w:lvl>
    <w:lvl w:ilvl="2">
      <w:start w:val="1"/>
      <w:numFmt w:val="decimal"/>
      <w:isLgl w:val="false"/>
      <w:suff w:val="tab"/>
      <w:lvlText w:val="%1.%2.%3."/>
      <w:lvlJc w:val="left"/>
      <w:pPr>
        <w:ind w:left="1440" w:hanging="360"/>
        <w:tabs>
          <w:tab w:val="num" w:pos="1440" w:leader="none"/>
        </w:tabs>
      </w:pPr>
      <w:rPr>
        <w:rFonts w:hint="default" w:ascii="Times New Roman" w:hAnsi="Times New Roman" w:cs="Times New Roman"/>
      </w:r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76">
    <w:multiLevelType w:val="hybridMultilevel"/>
    <w:lvl w:ilvl="0">
      <w:start w:val="5"/>
      <w:numFmt w:val="decimal"/>
      <w:isLgl w:val="false"/>
      <w:suff w:val="tab"/>
      <w:lvlText w:val="%1."/>
      <w:lvlJc w:val="left"/>
      <w:pPr>
        <w:ind w:left="720" w:hanging="360"/>
        <w:tabs>
          <w:tab w:val="num" w:pos="720" w:leader="none"/>
        </w:tabs>
      </w:pPr>
      <w:rPr>
        <w:b/>
      </w:rPr>
    </w:lvl>
    <w:lvl w:ilvl="1">
      <w:start w:val="19"/>
      <w:numFmt w:val="decimal"/>
      <w:isLgl w:val="false"/>
      <w:suff w:val="tab"/>
      <w:lvlText w:val="%1.%2."/>
      <w:lvlJc w:val="left"/>
      <w:pPr>
        <w:ind w:left="1070" w:hanging="360"/>
        <w:tabs>
          <w:tab w:val="num" w:pos="1070" w:leader="none"/>
        </w:tabs>
      </w:pPr>
      <w:rPr>
        <w:i w:val="0"/>
      </w:rPr>
    </w:lvl>
    <w:lvl w:ilvl="2">
      <w:start w:val="1"/>
      <w:numFmt w:val="decimal"/>
      <w:isLgl w:val="false"/>
      <w:suff w:val="tab"/>
      <w:lvlText w:val="%1.%2.%3."/>
      <w:lvlJc w:val="left"/>
      <w:pPr>
        <w:ind w:left="1440" w:hanging="360"/>
        <w:tabs>
          <w:tab w:val="num" w:pos="1440" w:leader="none"/>
        </w:tabs>
      </w:pPr>
      <w:rPr>
        <w:rFonts w:hint="default" w:ascii="Times New Roman" w:hAnsi="Times New Roman" w:cs="Times New Roman"/>
      </w:rPr>
    </w:lvl>
    <w:lvl w:ilvl="3">
      <w:start w:val="1"/>
      <w:numFmt w:val="decimal"/>
      <w:isLgl w:val="false"/>
      <w:suff w:val="tab"/>
      <w:lvlText w:val="%1.%2.%3.%4."/>
      <w:lvlJc w:val="left"/>
      <w:pPr>
        <w:ind w:left="1800" w:hanging="360"/>
        <w:tabs>
          <w:tab w:val="num" w:pos="1800" w:leader="none"/>
        </w:tabs>
      </w:pPr>
    </w:lvl>
    <w:lvl w:ilvl="4">
      <w:start w:val="1"/>
      <w:numFmt w:val="decimal"/>
      <w:isLgl w:val="false"/>
      <w:suff w:val="tab"/>
      <w:lvlText w:val="%1.%2.%3.%4.%5."/>
      <w:lvlJc w:val="left"/>
      <w:pPr>
        <w:ind w:left="2160" w:hanging="360"/>
        <w:tabs>
          <w:tab w:val="num" w:pos="2160" w:leader="none"/>
        </w:tabs>
      </w:pPr>
    </w:lvl>
    <w:lvl w:ilvl="5">
      <w:start w:val="1"/>
      <w:numFmt w:val="decimal"/>
      <w:isLgl w:val="false"/>
      <w:suff w:val="tab"/>
      <w:lvlText w:val="%1.%2.%3.%4.%5.%6."/>
      <w:lvlJc w:val="left"/>
      <w:pPr>
        <w:ind w:left="2520" w:hanging="360"/>
        <w:tabs>
          <w:tab w:val="num" w:pos="2520" w:leader="none"/>
        </w:tabs>
      </w:pPr>
    </w:lvl>
    <w:lvl w:ilvl="6">
      <w:start w:val="1"/>
      <w:numFmt w:val="decimal"/>
      <w:isLgl w:val="false"/>
      <w:suff w:val="tab"/>
      <w:lvlText w:val="%1.%2.%3.%4.%5.%6.%7."/>
      <w:lvlJc w:val="left"/>
      <w:pPr>
        <w:ind w:left="2880" w:hanging="360"/>
        <w:tabs>
          <w:tab w:val="num" w:pos="2880" w:leader="none"/>
        </w:tabs>
      </w:pPr>
    </w:lvl>
    <w:lvl w:ilvl="7">
      <w:start w:val="1"/>
      <w:numFmt w:val="decimal"/>
      <w:isLgl w:val="false"/>
      <w:suff w:val="tab"/>
      <w:lvlText w:val="%1.%2.%3.%4.%5.%6.%7.%8."/>
      <w:lvlJc w:val="left"/>
      <w:pPr>
        <w:ind w:left="3240" w:hanging="360"/>
        <w:tabs>
          <w:tab w:val="num" w:pos="3240" w:leader="none"/>
        </w:tabs>
      </w:pPr>
    </w:lvl>
    <w:lvl w:ilvl="8">
      <w:start w:val="1"/>
      <w:numFmt w:val="decimal"/>
      <w:isLgl w:val="false"/>
      <w:suff w:val="tab"/>
      <w:lvlText w:val="%1.%2.%3.%4.%5.%6.%7.%8.%9."/>
      <w:lvlJc w:val="left"/>
      <w:pPr>
        <w:ind w:left="3600" w:hanging="360"/>
        <w:tabs>
          <w:tab w:val="num" w:pos="3600" w:leader="none"/>
        </w:tabs>
      </w:pPr>
    </w:lvl>
  </w:abstractNum>
  <w:abstractNum w:abstractNumId="77">
    <w:multiLevelType w:val="hybridMultilevel"/>
    <w:lvl w:ilvl="0">
      <w:start w:val="5"/>
      <w:numFmt w:val="decimal"/>
      <w:isLgl w:val="false"/>
      <w:suff w:val="tab"/>
      <w:lvlText w:val="%1."/>
      <w:lvlJc w:val="left"/>
      <w:pPr>
        <w:ind w:left="1429" w:hanging="360"/>
        <w:tabs>
          <w:tab w:val="num" w:pos="720" w:leader="none"/>
        </w:tabs>
      </w:pPr>
      <w:rPr>
        <w:b/>
      </w:rPr>
    </w:lvl>
    <w:lvl w:ilvl="1">
      <w:start w:val="22"/>
      <w:numFmt w:val="decimal"/>
      <w:isLgl w:val="false"/>
      <w:suff w:val="tab"/>
      <w:lvlText w:val="%1.%2."/>
      <w:lvlJc w:val="left"/>
      <w:pPr>
        <w:ind w:left="1779" w:hanging="360"/>
        <w:tabs>
          <w:tab w:val="num" w:pos="1070" w:leader="none"/>
        </w:tabs>
      </w:pPr>
      <w:rPr>
        <w:i w:val="0"/>
        <w:sz w:val="24"/>
        <w:szCs w:val="24"/>
      </w:rPr>
    </w:lvl>
    <w:lvl w:ilvl="2">
      <w:start w:val="2"/>
      <w:numFmt w:val="decimal"/>
      <w:isLgl w:val="false"/>
      <w:suff w:val="tab"/>
      <w:lvlText w:val="%1.%2.%3."/>
      <w:lvlJc w:val="left"/>
      <w:pPr>
        <w:ind w:left="2149" w:hanging="360"/>
        <w:tabs>
          <w:tab w:val="num" w:pos="1440" w:leader="none"/>
        </w:tabs>
      </w:pPr>
      <w:rPr>
        <w:rFonts w:hint="default" w:ascii="Times New Roman" w:hAnsi="Times New Roman" w:cs="Times New Roman"/>
      </w:rPr>
    </w:lvl>
    <w:lvl w:ilvl="3">
      <w:start w:val="1"/>
      <w:numFmt w:val="decimal"/>
      <w:isLgl w:val="false"/>
      <w:suff w:val="tab"/>
      <w:lvlText w:val="%1.%2.%3.%4."/>
      <w:lvlJc w:val="left"/>
      <w:pPr>
        <w:ind w:left="2509" w:hanging="360"/>
        <w:tabs>
          <w:tab w:val="num" w:pos="1800" w:leader="none"/>
        </w:tabs>
      </w:pPr>
    </w:lvl>
    <w:lvl w:ilvl="4">
      <w:start w:val="1"/>
      <w:numFmt w:val="decimal"/>
      <w:isLgl w:val="false"/>
      <w:suff w:val="tab"/>
      <w:lvlText w:val="%1.%2.%3.%4.%5."/>
      <w:lvlJc w:val="left"/>
      <w:pPr>
        <w:ind w:left="2869" w:hanging="360"/>
        <w:tabs>
          <w:tab w:val="num" w:pos="2160" w:leader="none"/>
        </w:tabs>
      </w:pPr>
    </w:lvl>
    <w:lvl w:ilvl="5">
      <w:start w:val="1"/>
      <w:numFmt w:val="decimal"/>
      <w:isLgl w:val="false"/>
      <w:suff w:val="tab"/>
      <w:lvlText w:val="%1.%2.%3.%4.%5.%6."/>
      <w:lvlJc w:val="left"/>
      <w:pPr>
        <w:ind w:left="3229" w:hanging="360"/>
        <w:tabs>
          <w:tab w:val="num" w:pos="2520" w:leader="none"/>
        </w:tabs>
      </w:pPr>
    </w:lvl>
    <w:lvl w:ilvl="6">
      <w:start w:val="1"/>
      <w:numFmt w:val="decimal"/>
      <w:isLgl w:val="false"/>
      <w:suff w:val="tab"/>
      <w:lvlText w:val="%1.%2.%3.%4.%5.%6.%7."/>
      <w:lvlJc w:val="left"/>
      <w:pPr>
        <w:ind w:left="3589" w:hanging="360"/>
        <w:tabs>
          <w:tab w:val="num" w:pos="2880" w:leader="none"/>
        </w:tabs>
      </w:pPr>
    </w:lvl>
    <w:lvl w:ilvl="7">
      <w:start w:val="1"/>
      <w:numFmt w:val="decimal"/>
      <w:isLgl w:val="false"/>
      <w:suff w:val="tab"/>
      <w:lvlText w:val="%1.%2.%3.%4.%5.%6.%7.%8."/>
      <w:lvlJc w:val="left"/>
      <w:pPr>
        <w:ind w:left="3949" w:hanging="360"/>
        <w:tabs>
          <w:tab w:val="num" w:pos="3240" w:leader="none"/>
        </w:tabs>
      </w:pPr>
    </w:lvl>
    <w:lvl w:ilvl="8">
      <w:start w:val="1"/>
      <w:numFmt w:val="decimal"/>
      <w:isLgl w:val="false"/>
      <w:suff w:val="tab"/>
      <w:lvlText w:val="%1.%2.%3.%4.%5.%6.%7.%8.%9."/>
      <w:lvlJc w:val="left"/>
      <w:pPr>
        <w:ind w:left="4309" w:hanging="360"/>
        <w:tabs>
          <w:tab w:val="num" w:pos="3600" w:leader="none"/>
        </w:tabs>
      </w:pPr>
    </w:lvl>
  </w:abstractNum>
  <w:num w:numId="1">
    <w:abstractNumId w:val="20"/>
  </w:num>
  <w:num w:numId="2">
    <w:abstractNumId w:val="5"/>
  </w:num>
  <w:num w:numId="3">
    <w:abstractNumId w:val="16"/>
  </w:num>
  <w:num w:numId="4">
    <w:abstractNumId w:val="14"/>
  </w:num>
  <w:num w:numId="5">
    <w:abstractNumId w:val="25"/>
  </w:num>
  <w:num w:numId="6">
    <w:abstractNumId w:val="30"/>
  </w:num>
  <w:num w:numId="7">
    <w:abstractNumId w:val="7"/>
  </w:num>
  <w:num w:numId="8">
    <w:abstractNumId w:val="12"/>
  </w:num>
  <w:num w:numId="9">
    <w:abstractNumId w:val="19"/>
  </w:num>
  <w:num w:numId="10">
    <w:abstractNumId w:val="28"/>
  </w:num>
  <w:num w:numId="11">
    <w:abstractNumId w:val="4"/>
  </w:num>
  <w:num w:numId="12">
    <w:abstractNumId w:val="8"/>
  </w:num>
  <w:num w:numId="13">
    <w:abstractNumId w:val="33"/>
  </w:num>
  <w:num w:numId="14">
    <w:abstractNumId w:val="10"/>
  </w:num>
  <w:num w:numId="15">
    <w:abstractNumId w:val="9"/>
  </w:num>
  <w:num w:numId="16">
    <w:abstractNumId w:val="18"/>
  </w:num>
  <w:num w:numId="17">
    <w:abstractNumId w:val="23"/>
  </w:num>
  <w:num w:numId="18">
    <w:abstractNumId w:val="24"/>
  </w:num>
  <w:num w:numId="19">
    <w:abstractNumId w:val="21"/>
  </w:num>
  <w:num w:numId="20">
    <w:abstractNumId w:val="22"/>
  </w:num>
  <w:num w:numId="21">
    <w:abstractNumId w:val="3"/>
  </w:num>
  <w:num w:numId="22">
    <w:abstractNumId w:val="0"/>
  </w:num>
  <w:num w:numId="23">
    <w:abstractNumId w:val="29"/>
  </w:num>
  <w:num w:numId="24">
    <w:abstractNumId w:val="31"/>
    <w:lvlOverride w:ilvl="0">
      <w:lvl w:ilvl="0">
        <w:start w:val="1"/>
        <w:numFmt w:val="bullet"/>
        <w:isLgl w:val="false"/>
        <w:suff w:val="tab"/>
        <w:lvlText w:val="-"/>
        <w:legacy w:legacy="1" w:legacyIndent="154" w:legacySpace="0"/>
        <w:lvlJc w:val="left"/>
        <w:pPr/>
        <w:rPr>
          <w:rFonts w:hint="default" w:ascii="Times New Roman" w:hAnsi="Times New Roman"/>
        </w:rPr>
      </w:lvl>
    </w:lvlOverride>
  </w:num>
  <w:num w:numId="25">
    <w:abstractNumId w:val="17"/>
  </w:num>
  <w:num w:numId="26">
    <w:abstractNumId w:val="6"/>
  </w:num>
  <w:num w:numId="27">
    <w:abstractNumId w:val="1"/>
  </w:num>
  <w:num w:numId="28">
    <w:abstractNumId w:val="2"/>
  </w:num>
  <w:num w:numId="29">
    <w:abstractNumId w:val="27"/>
  </w:num>
  <w:num w:numId="30">
    <w:abstractNumId w:val="15"/>
  </w:num>
  <w:num w:numId="31">
    <w:abstractNumId w:val="32"/>
  </w:num>
  <w:num w:numId="32">
    <w:abstractNumId w:val="13"/>
  </w:num>
  <w:num w:numId="33">
    <w:abstractNumId w:val="26"/>
  </w:num>
  <w:num w:numId="34">
    <w:abstractNumId w:val="11"/>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9"/>
  <w:characterSpacingControl w:val="doNotCompress"/>
  <w:footnotePr>
    <w:pos w:val="pageBottom"/>
    <w:numFmt w:val="decimal"/>
    <w:numStart w:val="1"/>
    <w:numRestart w:val="continuous"/>
    <w:footnote w:id="-1"/>
    <w:footnote w:id="0"/>
    <w:footnote w:id="1"/>
  </w:footnotePr>
  <w:endnotePr>
    <w:pos w:val="docEnd"/>
    <w:numFmt w:val="lowerRoman"/>
    <w:numStart w:val="1"/>
    <w:numRestart w:val="continuous"/>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554">
    <w:name w:val="Heading 1 Char"/>
    <w:basedOn w:val="1578"/>
    <w:link w:val="1569"/>
    <w:uiPriority w:val="9"/>
    <w:rPr>
      <w:rFonts w:ascii="Arial" w:hAnsi="Arial" w:eastAsia="Arial" w:cs="Arial"/>
      <w:sz w:val="40"/>
      <w:szCs w:val="40"/>
    </w:rPr>
  </w:style>
  <w:style w:type="character" w:styleId="1555">
    <w:name w:val="Heading 2 Char"/>
    <w:basedOn w:val="1578"/>
    <w:link w:val="1570"/>
    <w:uiPriority w:val="9"/>
    <w:rPr>
      <w:rFonts w:ascii="Arial" w:hAnsi="Arial" w:eastAsia="Arial" w:cs="Arial"/>
      <w:sz w:val="34"/>
    </w:rPr>
  </w:style>
  <w:style w:type="character" w:styleId="1556">
    <w:name w:val="Heading 3 Char"/>
    <w:basedOn w:val="1578"/>
    <w:link w:val="1571"/>
    <w:uiPriority w:val="9"/>
    <w:rPr>
      <w:rFonts w:ascii="Arial" w:hAnsi="Arial" w:eastAsia="Arial" w:cs="Arial"/>
      <w:sz w:val="30"/>
      <w:szCs w:val="30"/>
    </w:rPr>
  </w:style>
  <w:style w:type="character" w:styleId="1557">
    <w:name w:val="Heading 4 Char"/>
    <w:basedOn w:val="1578"/>
    <w:link w:val="1572"/>
    <w:uiPriority w:val="9"/>
    <w:rPr>
      <w:rFonts w:ascii="Arial" w:hAnsi="Arial" w:eastAsia="Arial" w:cs="Arial"/>
      <w:b/>
      <w:bCs/>
      <w:sz w:val="26"/>
      <w:szCs w:val="26"/>
    </w:rPr>
  </w:style>
  <w:style w:type="character" w:styleId="1558">
    <w:name w:val="Heading 5 Char"/>
    <w:basedOn w:val="1578"/>
    <w:link w:val="1573"/>
    <w:uiPriority w:val="9"/>
    <w:rPr>
      <w:rFonts w:ascii="Arial" w:hAnsi="Arial" w:eastAsia="Arial" w:cs="Arial"/>
      <w:b/>
      <w:bCs/>
      <w:sz w:val="24"/>
      <w:szCs w:val="24"/>
    </w:rPr>
  </w:style>
  <w:style w:type="character" w:styleId="1559">
    <w:name w:val="Heading 6 Char"/>
    <w:basedOn w:val="1578"/>
    <w:link w:val="1574"/>
    <w:uiPriority w:val="9"/>
    <w:rPr>
      <w:rFonts w:ascii="Arial" w:hAnsi="Arial" w:eastAsia="Arial" w:cs="Arial"/>
      <w:b/>
      <w:bCs/>
      <w:sz w:val="22"/>
      <w:szCs w:val="22"/>
    </w:rPr>
  </w:style>
  <w:style w:type="character" w:styleId="1560">
    <w:name w:val="Heading 7 Char"/>
    <w:basedOn w:val="1578"/>
    <w:link w:val="1575"/>
    <w:uiPriority w:val="9"/>
    <w:rPr>
      <w:rFonts w:ascii="Arial" w:hAnsi="Arial" w:eastAsia="Arial" w:cs="Arial"/>
      <w:b/>
      <w:bCs/>
      <w:i/>
      <w:iCs/>
      <w:sz w:val="22"/>
      <w:szCs w:val="22"/>
    </w:rPr>
  </w:style>
  <w:style w:type="character" w:styleId="1561">
    <w:name w:val="Heading 8 Char"/>
    <w:basedOn w:val="1578"/>
    <w:link w:val="1576"/>
    <w:uiPriority w:val="9"/>
    <w:rPr>
      <w:rFonts w:ascii="Arial" w:hAnsi="Arial" w:eastAsia="Arial" w:cs="Arial"/>
      <w:i/>
      <w:iCs/>
      <w:sz w:val="22"/>
      <w:szCs w:val="22"/>
    </w:rPr>
  </w:style>
  <w:style w:type="character" w:styleId="1562">
    <w:name w:val="Heading 9 Char"/>
    <w:basedOn w:val="1578"/>
    <w:link w:val="1577"/>
    <w:uiPriority w:val="9"/>
    <w:rPr>
      <w:rFonts w:ascii="Arial" w:hAnsi="Arial" w:eastAsia="Arial" w:cs="Arial"/>
      <w:i/>
      <w:iCs/>
      <w:sz w:val="21"/>
      <w:szCs w:val="21"/>
    </w:rPr>
  </w:style>
  <w:style w:type="character" w:styleId="1563">
    <w:name w:val="Title Char"/>
    <w:basedOn w:val="1578"/>
    <w:link w:val="1759"/>
    <w:uiPriority w:val="10"/>
    <w:rPr>
      <w:sz w:val="48"/>
      <w:szCs w:val="48"/>
    </w:rPr>
  </w:style>
  <w:style w:type="character" w:styleId="1564">
    <w:name w:val="Subtitle Char"/>
    <w:basedOn w:val="1578"/>
    <w:link w:val="1592"/>
    <w:uiPriority w:val="11"/>
    <w:rPr>
      <w:sz w:val="24"/>
      <w:szCs w:val="24"/>
    </w:rPr>
  </w:style>
  <w:style w:type="character" w:styleId="1565">
    <w:name w:val="Quote Char"/>
    <w:link w:val="1594"/>
    <w:uiPriority w:val="29"/>
    <w:rPr>
      <w:i/>
    </w:rPr>
  </w:style>
  <w:style w:type="character" w:styleId="1566">
    <w:name w:val="Intense Quote Char"/>
    <w:link w:val="1596"/>
    <w:uiPriority w:val="30"/>
    <w:rPr>
      <w:i/>
    </w:rPr>
  </w:style>
  <w:style w:type="character" w:styleId="1567">
    <w:name w:val="Endnote Text Char"/>
    <w:link w:val="1728"/>
    <w:uiPriority w:val="99"/>
    <w:rPr>
      <w:sz w:val="20"/>
    </w:rPr>
  </w:style>
  <w:style w:type="paragraph" w:styleId="1568" w:default="1">
    <w:name w:val="Normal"/>
    <w:qFormat/>
    <w:rPr>
      <w:sz w:val="24"/>
      <w:szCs w:val="24"/>
    </w:rPr>
  </w:style>
  <w:style w:type="paragraph" w:styleId="1569">
    <w:name w:val="Heading 1"/>
    <w:basedOn w:val="1568"/>
    <w:next w:val="1568"/>
    <w:link w:val="1581"/>
    <w:uiPriority w:val="9"/>
    <w:qFormat/>
    <w:pPr>
      <w:keepLines/>
      <w:keepNext/>
      <w:spacing w:before="480" w:after="200"/>
      <w:outlineLvl w:val="0"/>
    </w:pPr>
    <w:rPr>
      <w:rFonts w:ascii="Arial" w:hAnsi="Arial" w:eastAsia="Arial" w:cs="Arial"/>
      <w:sz w:val="40"/>
      <w:szCs w:val="40"/>
    </w:rPr>
  </w:style>
  <w:style w:type="paragraph" w:styleId="1570">
    <w:name w:val="Heading 2"/>
    <w:basedOn w:val="1568"/>
    <w:next w:val="1568"/>
    <w:link w:val="1582"/>
    <w:qFormat/>
    <w:pPr>
      <w:ind w:left="1134" w:hanging="1134"/>
      <w:keepNext/>
      <w:spacing w:before="360" w:after="120"/>
      <w:tabs>
        <w:tab w:val="num" w:pos="1134" w:leader="none"/>
      </w:tabs>
      <w:outlineLvl w:val="1"/>
    </w:pPr>
    <w:rPr>
      <w:b/>
      <w:bCs/>
      <w:sz w:val="32"/>
      <w:szCs w:val="32"/>
    </w:rPr>
  </w:style>
  <w:style w:type="paragraph" w:styleId="1571">
    <w:name w:val="Heading 3"/>
    <w:basedOn w:val="1568"/>
    <w:next w:val="1568"/>
    <w:link w:val="1583"/>
    <w:uiPriority w:val="9"/>
    <w:unhideWhenUsed/>
    <w:qFormat/>
    <w:pPr>
      <w:keepLines/>
      <w:keepNext/>
      <w:spacing w:before="320" w:after="200"/>
      <w:outlineLvl w:val="2"/>
    </w:pPr>
    <w:rPr>
      <w:rFonts w:ascii="Arial" w:hAnsi="Arial" w:eastAsia="Arial" w:cs="Arial"/>
      <w:sz w:val="30"/>
      <w:szCs w:val="30"/>
    </w:rPr>
  </w:style>
  <w:style w:type="paragraph" w:styleId="1572">
    <w:name w:val="Heading 4"/>
    <w:basedOn w:val="1568"/>
    <w:next w:val="1568"/>
    <w:link w:val="1584"/>
    <w:uiPriority w:val="9"/>
    <w:unhideWhenUsed/>
    <w:qFormat/>
    <w:pPr>
      <w:keepLines/>
      <w:keepNext/>
      <w:spacing w:before="320" w:after="200"/>
      <w:outlineLvl w:val="3"/>
    </w:pPr>
    <w:rPr>
      <w:rFonts w:ascii="Arial" w:hAnsi="Arial" w:eastAsia="Arial" w:cs="Arial"/>
      <w:b/>
      <w:bCs/>
      <w:sz w:val="26"/>
      <w:szCs w:val="26"/>
    </w:rPr>
  </w:style>
  <w:style w:type="paragraph" w:styleId="1573">
    <w:name w:val="Heading 5"/>
    <w:basedOn w:val="1568"/>
    <w:next w:val="1568"/>
    <w:link w:val="1585"/>
    <w:uiPriority w:val="9"/>
    <w:unhideWhenUsed/>
    <w:qFormat/>
    <w:pPr>
      <w:keepLines/>
      <w:keepNext/>
      <w:spacing w:before="320" w:after="200"/>
      <w:outlineLvl w:val="4"/>
    </w:pPr>
    <w:rPr>
      <w:rFonts w:ascii="Arial" w:hAnsi="Arial" w:eastAsia="Arial" w:cs="Arial"/>
      <w:b/>
      <w:bCs/>
    </w:rPr>
  </w:style>
  <w:style w:type="paragraph" w:styleId="1574">
    <w:name w:val="Heading 6"/>
    <w:basedOn w:val="1568"/>
    <w:next w:val="1568"/>
    <w:link w:val="1586"/>
    <w:uiPriority w:val="9"/>
    <w:unhideWhenUsed/>
    <w:qFormat/>
    <w:pPr>
      <w:keepLines/>
      <w:keepNext/>
      <w:spacing w:before="320" w:after="200"/>
      <w:outlineLvl w:val="5"/>
    </w:pPr>
    <w:rPr>
      <w:rFonts w:ascii="Arial" w:hAnsi="Arial" w:eastAsia="Arial" w:cs="Arial"/>
      <w:b/>
      <w:bCs/>
      <w:sz w:val="22"/>
      <w:szCs w:val="22"/>
    </w:rPr>
  </w:style>
  <w:style w:type="paragraph" w:styleId="1575">
    <w:name w:val="Heading 7"/>
    <w:basedOn w:val="1568"/>
    <w:next w:val="1568"/>
    <w:link w:val="1587"/>
    <w:uiPriority w:val="9"/>
    <w:unhideWhenUsed/>
    <w:qFormat/>
    <w:pPr>
      <w:keepLines/>
      <w:keepNext/>
      <w:spacing w:before="320" w:after="200"/>
      <w:outlineLvl w:val="6"/>
    </w:pPr>
    <w:rPr>
      <w:rFonts w:ascii="Arial" w:hAnsi="Arial" w:eastAsia="Arial" w:cs="Arial"/>
      <w:b/>
      <w:bCs/>
      <w:i/>
      <w:iCs/>
      <w:sz w:val="22"/>
      <w:szCs w:val="22"/>
    </w:rPr>
  </w:style>
  <w:style w:type="paragraph" w:styleId="1576">
    <w:name w:val="Heading 8"/>
    <w:basedOn w:val="1568"/>
    <w:next w:val="1568"/>
    <w:link w:val="1588"/>
    <w:uiPriority w:val="9"/>
    <w:unhideWhenUsed/>
    <w:qFormat/>
    <w:pPr>
      <w:keepLines/>
      <w:keepNext/>
      <w:spacing w:before="320" w:after="200"/>
      <w:outlineLvl w:val="7"/>
    </w:pPr>
    <w:rPr>
      <w:rFonts w:ascii="Arial" w:hAnsi="Arial" w:eastAsia="Arial" w:cs="Arial"/>
      <w:i/>
      <w:iCs/>
      <w:sz w:val="22"/>
      <w:szCs w:val="22"/>
    </w:rPr>
  </w:style>
  <w:style w:type="paragraph" w:styleId="1577">
    <w:name w:val="Heading 9"/>
    <w:basedOn w:val="1568"/>
    <w:next w:val="1568"/>
    <w:link w:val="1589"/>
    <w:uiPriority w:val="9"/>
    <w:unhideWhenUsed/>
    <w:qFormat/>
    <w:pPr>
      <w:keepLines/>
      <w:keepNext/>
      <w:spacing w:before="320" w:after="200"/>
      <w:outlineLvl w:val="8"/>
    </w:pPr>
    <w:rPr>
      <w:rFonts w:ascii="Arial" w:hAnsi="Arial" w:eastAsia="Arial" w:cs="Arial"/>
      <w:i/>
      <w:iCs/>
      <w:sz w:val="21"/>
      <w:szCs w:val="21"/>
    </w:rPr>
  </w:style>
  <w:style w:type="character" w:styleId="1578" w:default="1">
    <w:name w:val="Default Paragraph Font"/>
    <w:uiPriority w:val="1"/>
    <w:semiHidden/>
    <w:unhideWhenUsed/>
  </w:style>
  <w:style w:type="table" w:styleId="1579" w:default="1">
    <w:name w:val="Normal Table"/>
    <w:uiPriority w:val="99"/>
    <w:semiHidden/>
    <w:unhideWhenUsed/>
    <w:tblPr>
      <w:tblInd w:w="0" w:type="dxa"/>
      <w:tblCellMar>
        <w:left w:w="108" w:type="dxa"/>
        <w:top w:w="0" w:type="dxa"/>
        <w:right w:w="108" w:type="dxa"/>
        <w:bottom w:w="0" w:type="dxa"/>
      </w:tblCellMar>
    </w:tblPr>
  </w:style>
  <w:style w:type="numbering" w:styleId="1580" w:default="1">
    <w:name w:val="No List"/>
    <w:uiPriority w:val="99"/>
    <w:semiHidden/>
    <w:unhideWhenUsed/>
  </w:style>
  <w:style w:type="character" w:styleId="1581" w:customStyle="1">
    <w:name w:val="Заголовок 1 Знак"/>
    <w:basedOn w:val="1578"/>
    <w:link w:val="1569"/>
    <w:uiPriority w:val="9"/>
    <w:rPr>
      <w:rFonts w:ascii="Arial" w:hAnsi="Arial" w:eastAsia="Arial" w:cs="Arial"/>
      <w:sz w:val="40"/>
      <w:szCs w:val="40"/>
    </w:rPr>
  </w:style>
  <w:style w:type="character" w:styleId="1582" w:customStyle="1">
    <w:name w:val="Заголовок 2 Знак"/>
    <w:basedOn w:val="1578"/>
    <w:link w:val="1570"/>
    <w:uiPriority w:val="9"/>
    <w:rPr>
      <w:rFonts w:ascii="Arial" w:hAnsi="Arial" w:eastAsia="Arial" w:cs="Arial"/>
      <w:sz w:val="34"/>
    </w:rPr>
  </w:style>
  <w:style w:type="character" w:styleId="1583" w:customStyle="1">
    <w:name w:val="Заголовок 3 Знак"/>
    <w:basedOn w:val="1578"/>
    <w:link w:val="1571"/>
    <w:uiPriority w:val="9"/>
    <w:rPr>
      <w:rFonts w:ascii="Arial" w:hAnsi="Arial" w:eastAsia="Arial" w:cs="Arial"/>
      <w:sz w:val="30"/>
      <w:szCs w:val="30"/>
    </w:rPr>
  </w:style>
  <w:style w:type="character" w:styleId="1584" w:customStyle="1">
    <w:name w:val="Заголовок 4 Знак"/>
    <w:basedOn w:val="1578"/>
    <w:link w:val="1572"/>
    <w:uiPriority w:val="9"/>
    <w:rPr>
      <w:rFonts w:ascii="Arial" w:hAnsi="Arial" w:eastAsia="Arial" w:cs="Arial"/>
      <w:b/>
      <w:bCs/>
      <w:sz w:val="26"/>
      <w:szCs w:val="26"/>
    </w:rPr>
  </w:style>
  <w:style w:type="character" w:styleId="1585" w:customStyle="1">
    <w:name w:val="Заголовок 5 Знак"/>
    <w:basedOn w:val="1578"/>
    <w:link w:val="1573"/>
    <w:uiPriority w:val="9"/>
    <w:rPr>
      <w:rFonts w:ascii="Arial" w:hAnsi="Arial" w:eastAsia="Arial" w:cs="Arial"/>
      <w:b/>
      <w:bCs/>
      <w:sz w:val="24"/>
      <w:szCs w:val="24"/>
    </w:rPr>
  </w:style>
  <w:style w:type="character" w:styleId="1586" w:customStyle="1">
    <w:name w:val="Заголовок 6 Знак"/>
    <w:basedOn w:val="1578"/>
    <w:link w:val="1574"/>
    <w:uiPriority w:val="9"/>
    <w:rPr>
      <w:rFonts w:ascii="Arial" w:hAnsi="Arial" w:eastAsia="Arial" w:cs="Arial"/>
      <w:b/>
      <w:bCs/>
      <w:sz w:val="22"/>
      <w:szCs w:val="22"/>
    </w:rPr>
  </w:style>
  <w:style w:type="character" w:styleId="1587" w:customStyle="1">
    <w:name w:val="Заголовок 7 Знак"/>
    <w:basedOn w:val="1578"/>
    <w:link w:val="1575"/>
    <w:uiPriority w:val="9"/>
    <w:rPr>
      <w:rFonts w:ascii="Arial" w:hAnsi="Arial" w:eastAsia="Arial" w:cs="Arial"/>
      <w:b/>
      <w:bCs/>
      <w:i/>
      <w:iCs/>
      <w:sz w:val="22"/>
      <w:szCs w:val="22"/>
    </w:rPr>
  </w:style>
  <w:style w:type="character" w:styleId="1588" w:customStyle="1">
    <w:name w:val="Заголовок 8 Знак"/>
    <w:basedOn w:val="1578"/>
    <w:link w:val="1576"/>
    <w:uiPriority w:val="9"/>
    <w:rPr>
      <w:rFonts w:ascii="Arial" w:hAnsi="Arial" w:eastAsia="Arial" w:cs="Arial"/>
      <w:i/>
      <w:iCs/>
      <w:sz w:val="22"/>
      <w:szCs w:val="22"/>
    </w:rPr>
  </w:style>
  <w:style w:type="character" w:styleId="1589" w:customStyle="1">
    <w:name w:val="Заголовок 9 Знак"/>
    <w:basedOn w:val="1578"/>
    <w:link w:val="1577"/>
    <w:uiPriority w:val="9"/>
    <w:rPr>
      <w:rFonts w:ascii="Arial" w:hAnsi="Arial" w:eastAsia="Arial" w:cs="Arial"/>
      <w:i/>
      <w:iCs/>
      <w:sz w:val="21"/>
      <w:szCs w:val="21"/>
    </w:rPr>
  </w:style>
  <w:style w:type="paragraph" w:styleId="1590">
    <w:name w:val="No Spacing"/>
    <w:uiPriority w:val="1"/>
    <w:qFormat/>
  </w:style>
  <w:style w:type="character" w:styleId="1591" w:customStyle="1">
    <w:name w:val="Заголовок Знак"/>
    <w:basedOn w:val="1578"/>
    <w:link w:val="1759"/>
    <w:uiPriority w:val="10"/>
    <w:rPr>
      <w:sz w:val="48"/>
      <w:szCs w:val="48"/>
    </w:rPr>
  </w:style>
  <w:style w:type="paragraph" w:styleId="1592">
    <w:name w:val="Subtitle"/>
    <w:basedOn w:val="1568"/>
    <w:next w:val="1568"/>
    <w:link w:val="1593"/>
    <w:uiPriority w:val="11"/>
    <w:qFormat/>
    <w:pPr>
      <w:spacing w:before="200" w:after="200"/>
    </w:pPr>
  </w:style>
  <w:style w:type="character" w:styleId="1593" w:customStyle="1">
    <w:name w:val="Подзаголовок Знак"/>
    <w:basedOn w:val="1578"/>
    <w:link w:val="1592"/>
    <w:uiPriority w:val="11"/>
    <w:rPr>
      <w:sz w:val="24"/>
      <w:szCs w:val="24"/>
    </w:rPr>
  </w:style>
  <w:style w:type="paragraph" w:styleId="1594">
    <w:name w:val="Quote"/>
    <w:basedOn w:val="1568"/>
    <w:next w:val="1568"/>
    <w:link w:val="1595"/>
    <w:uiPriority w:val="29"/>
    <w:qFormat/>
    <w:pPr>
      <w:ind w:left="720" w:right="720"/>
    </w:pPr>
    <w:rPr>
      <w:i/>
    </w:rPr>
  </w:style>
  <w:style w:type="character" w:styleId="1595" w:customStyle="1">
    <w:name w:val="Цитата 2 Знак"/>
    <w:link w:val="1594"/>
    <w:uiPriority w:val="29"/>
    <w:rPr>
      <w:i/>
    </w:rPr>
  </w:style>
  <w:style w:type="paragraph" w:styleId="1596">
    <w:name w:val="Intense Quote"/>
    <w:basedOn w:val="1568"/>
    <w:next w:val="1568"/>
    <w:link w:val="1597"/>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1597" w:customStyle="1">
    <w:name w:val="Выделенная цитата Знак"/>
    <w:link w:val="1596"/>
    <w:uiPriority w:val="30"/>
    <w:rPr>
      <w:i/>
    </w:rPr>
  </w:style>
  <w:style w:type="character" w:styleId="1598" w:customStyle="1">
    <w:name w:val="Header Char"/>
    <w:basedOn w:val="1578"/>
    <w:uiPriority w:val="99"/>
  </w:style>
  <w:style w:type="character" w:styleId="1599" w:customStyle="1">
    <w:name w:val="Footer Char"/>
    <w:basedOn w:val="1578"/>
    <w:uiPriority w:val="99"/>
  </w:style>
  <w:style w:type="paragraph" w:styleId="1600">
    <w:name w:val="Caption"/>
    <w:basedOn w:val="1568"/>
    <w:next w:val="1568"/>
    <w:link w:val="1601"/>
    <w:uiPriority w:val="35"/>
    <w:semiHidden/>
    <w:unhideWhenUsed/>
    <w:qFormat/>
    <w:pPr>
      <w:spacing w:line="276" w:lineRule="auto"/>
    </w:pPr>
    <w:rPr>
      <w:b/>
      <w:bCs/>
      <w:color w:val="4f81bd" w:themeColor="accent1"/>
      <w:sz w:val="18"/>
      <w:szCs w:val="18"/>
    </w:rPr>
  </w:style>
  <w:style w:type="character" w:styleId="1601" w:customStyle="1">
    <w:name w:val="Caption Char"/>
    <w:uiPriority w:val="99"/>
  </w:style>
  <w:style w:type="table" w:styleId="1602" w:customStyle="1">
    <w:name w:val="Table Grid Light"/>
    <w:basedOn w:val="1579"/>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1603">
    <w:name w:val="Plain Table 1"/>
    <w:basedOn w:val="1579"/>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1604">
    <w:name w:val="Plain Table 2"/>
    <w:basedOn w:val="1579"/>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1605">
    <w:name w:val="Plain Table 3"/>
    <w:basedOn w:val="1579"/>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606">
    <w:name w:val="Plain Table 4"/>
    <w:basedOn w:val="1579"/>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607">
    <w:name w:val="Plain Table 5"/>
    <w:basedOn w:val="1579"/>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1608">
    <w:name w:val="Grid Table 1 Light"/>
    <w:basedOn w:val="1579"/>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1609" w:customStyle="1">
    <w:name w:val="Grid Table 1 Light - Accent 1"/>
    <w:basedOn w:val="1579"/>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b/>
        <w:color w:val="404040"/>
      </w:rPr>
    </w:tblStylePr>
    <w:tblStylePr w:type="firstRow">
      <w:rPr>
        <w:b/>
        <w:color w:val="404040"/>
      </w:rPr>
      <w:tcPr>
        <w:tcBorders>
          <w:bottom w:val="single" w:color="97B4D8" w:themeColor="accent1" w:themeTint="95" w:sz="12" w:space="0"/>
        </w:tcBorders>
      </w:tcPr>
    </w:tblStylePr>
    <w:tblStylePr w:type="lastCol">
      <w:rPr>
        <w:b/>
        <w:color w:val="404040"/>
      </w:rPr>
    </w:tblStylePr>
    <w:tblStylePr w:type="lastRow">
      <w:rPr>
        <w:b/>
        <w:color w:val="404040"/>
      </w:rPr>
    </w:tblStylePr>
  </w:style>
  <w:style w:type="table" w:styleId="1610" w:customStyle="1">
    <w:name w:val="Grid Table 1 Light - Accent 2"/>
    <w:basedOn w:val="1579"/>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b/>
        <w:color w:val="404040"/>
      </w:rPr>
    </w:tblStylePr>
    <w:tblStylePr w:type="firstRow">
      <w:rPr>
        <w:b/>
        <w:color w:val="404040"/>
      </w:rPr>
      <w:tcPr>
        <w:tcBorders>
          <w:bottom w:val="single" w:color="DA9896" w:themeColor="accent2" w:themeTint="95" w:sz="12" w:space="0"/>
        </w:tcBorders>
      </w:tcPr>
    </w:tblStylePr>
    <w:tblStylePr w:type="lastCol">
      <w:rPr>
        <w:b/>
        <w:color w:val="404040"/>
      </w:rPr>
    </w:tblStylePr>
    <w:tblStylePr w:type="lastRow">
      <w:rPr>
        <w:b/>
        <w:color w:val="404040"/>
      </w:rPr>
    </w:tblStylePr>
  </w:style>
  <w:style w:type="table" w:styleId="1611" w:customStyle="1">
    <w:name w:val="Grid Table 1 Light - Accent 3"/>
    <w:basedOn w:val="1579"/>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b/>
        <w:color w:val="404040"/>
      </w:rPr>
    </w:tblStylePr>
    <w:tblStylePr w:type="firstRow">
      <w:rPr>
        <w:b/>
        <w:color w:val="404040"/>
      </w:rPr>
      <w:tcPr>
        <w:tcBorders>
          <w:bottom w:val="single" w:color="C4D79D" w:themeColor="accent3" w:themeTint="95" w:sz="12" w:space="0"/>
        </w:tcBorders>
      </w:tcPr>
    </w:tblStylePr>
    <w:tblStylePr w:type="lastCol">
      <w:rPr>
        <w:b/>
        <w:color w:val="404040"/>
      </w:rPr>
    </w:tblStylePr>
    <w:tblStylePr w:type="lastRow">
      <w:rPr>
        <w:b/>
        <w:color w:val="404040"/>
      </w:rPr>
    </w:tblStylePr>
  </w:style>
  <w:style w:type="table" w:styleId="1612" w:customStyle="1">
    <w:name w:val="Grid Table 1 Light - Accent 4"/>
    <w:basedOn w:val="1579"/>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b/>
        <w:color w:val="404040"/>
      </w:rPr>
    </w:tblStylePr>
    <w:tblStylePr w:type="firstRow">
      <w:rPr>
        <w:b/>
        <w:color w:val="404040"/>
      </w:rPr>
      <w:tcPr>
        <w:tcBorders>
          <w:bottom w:val="single" w:color="B4A4C8" w:themeColor="accent4" w:themeTint="95" w:sz="12" w:space="0"/>
        </w:tcBorders>
      </w:tcPr>
    </w:tblStylePr>
    <w:tblStylePr w:type="lastCol">
      <w:rPr>
        <w:b/>
        <w:color w:val="404040"/>
      </w:rPr>
    </w:tblStylePr>
    <w:tblStylePr w:type="lastRow">
      <w:rPr>
        <w:b/>
        <w:color w:val="404040"/>
      </w:rPr>
    </w:tblStylePr>
  </w:style>
  <w:style w:type="table" w:styleId="1613" w:customStyle="1">
    <w:name w:val="Grid Table 1 Light - Accent 5"/>
    <w:basedOn w:val="1579"/>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b/>
        <w:color w:val="404040"/>
      </w:rPr>
    </w:tblStylePr>
    <w:tblStylePr w:type="firstRow">
      <w:rPr>
        <w:b/>
        <w:color w:val="404040"/>
      </w:rPr>
      <w:tcPr>
        <w:tcBorders>
          <w:bottom w:val="single" w:color="95CEDD" w:themeColor="accent5" w:themeTint="95" w:sz="12" w:space="0"/>
        </w:tcBorders>
      </w:tcPr>
    </w:tblStylePr>
    <w:tblStylePr w:type="lastCol">
      <w:rPr>
        <w:b/>
        <w:color w:val="404040"/>
      </w:rPr>
    </w:tblStylePr>
    <w:tblStylePr w:type="lastRow">
      <w:rPr>
        <w:b/>
        <w:color w:val="404040"/>
      </w:rPr>
    </w:tblStylePr>
  </w:style>
  <w:style w:type="table" w:styleId="1614" w:customStyle="1">
    <w:name w:val="Grid Table 1 Light - Accent 6"/>
    <w:basedOn w:val="1579"/>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b/>
        <w:color w:val="404040"/>
      </w:rPr>
    </w:tblStylePr>
    <w:tblStylePr w:type="firstRow">
      <w:rPr>
        <w:b/>
        <w:color w:val="404040"/>
      </w:rPr>
      <w:tcPr>
        <w:tcBorders>
          <w:bottom w:val="single" w:color="FAC192" w:themeColor="accent6" w:themeTint="95" w:sz="12" w:space="0"/>
        </w:tcBorders>
      </w:tcPr>
    </w:tblStylePr>
    <w:tblStylePr w:type="lastCol">
      <w:rPr>
        <w:b/>
        <w:color w:val="404040"/>
      </w:rPr>
    </w:tblStylePr>
    <w:tblStylePr w:type="lastRow">
      <w:rPr>
        <w:b/>
        <w:color w:val="404040"/>
      </w:rPr>
    </w:tblStylePr>
  </w:style>
  <w:style w:type="table" w:styleId="1615">
    <w:name w:val="Grid Table 2"/>
    <w:basedOn w:val="1579"/>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1616" w:customStyle="1">
    <w:name w:val="Grid Table 2 - Accent 1"/>
    <w:basedOn w:val="1579"/>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style>
  <w:style w:type="table" w:styleId="1617" w:customStyle="1">
    <w:name w:val="Grid Table 2 - Accent 2"/>
    <w:basedOn w:val="1579"/>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style>
  <w:style w:type="table" w:styleId="1618" w:customStyle="1">
    <w:name w:val="Grid Table 2 - Accent 3"/>
    <w:basedOn w:val="1579"/>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style>
  <w:style w:type="table" w:styleId="1619" w:customStyle="1">
    <w:name w:val="Grid Table 2 - Accent 4"/>
    <w:basedOn w:val="1579"/>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style>
  <w:style w:type="table" w:styleId="1620" w:customStyle="1">
    <w:name w:val="Grid Table 2 - Accent 5"/>
    <w:basedOn w:val="1579"/>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BACC6" w:themeColor="accent5" w:sz="4" w:space="0"/>
          <w:left w:val="none" w:color="000000" w:sz="4" w:space="0"/>
          <w:bottom w:val="none" w:color="000000" w:sz="4" w:space="0"/>
          <w:right w:val="none" w:color="000000" w:sz="4" w:space="0"/>
        </w:tcBorders>
      </w:tcPr>
    </w:tblStylePr>
  </w:style>
  <w:style w:type="table" w:styleId="1621" w:customStyle="1">
    <w:name w:val="Grid Table 2 - Accent 6"/>
    <w:basedOn w:val="1579"/>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79646" w:themeColor="accent6" w:sz="4" w:space="0"/>
          <w:left w:val="none" w:color="000000" w:sz="4" w:space="0"/>
          <w:bottom w:val="none" w:color="000000" w:sz="4" w:space="0"/>
          <w:right w:val="none" w:color="000000" w:sz="4" w:space="0"/>
        </w:tcBorders>
      </w:tcPr>
    </w:tblStylePr>
  </w:style>
  <w:style w:type="table" w:styleId="1622">
    <w:name w:val="Grid Table 3"/>
    <w:basedOn w:val="1579"/>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623" w:customStyle="1">
    <w:name w:val="Grid Table 3 - Accent 1"/>
    <w:basedOn w:val="1579"/>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624" w:customStyle="1">
    <w:name w:val="Grid Table 3 - Accent 2"/>
    <w:basedOn w:val="1579"/>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625" w:customStyle="1">
    <w:name w:val="Grid Table 3 - Accent 3"/>
    <w:basedOn w:val="1579"/>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626" w:customStyle="1">
    <w:name w:val="Grid Table 3 - Accent 4"/>
    <w:basedOn w:val="1579"/>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627" w:customStyle="1">
    <w:name w:val="Grid Table 3 - Accent 5"/>
    <w:basedOn w:val="1579"/>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628" w:customStyle="1">
    <w:name w:val="Grid Table 3 - Accent 6"/>
    <w:basedOn w:val="1579"/>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629">
    <w:name w:val="Grid Table 4"/>
    <w:basedOn w:val="1579"/>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630" w:customStyle="1">
    <w:name w:val="Grid Table 4 - Accent 1"/>
    <w:basedOn w:val="1579"/>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band1Horz">
      <w:rPr>
        <w:rFonts w:ascii="Arial" w:hAnsi="Arial"/>
        <w:color w:val="404040"/>
        <w:sz w:val="22"/>
      </w:rPr>
      <w:tcPr>
        <w:shd w:val="clear" w:color="dce6f2" w:themeColor="accent1" w:themeTint="32" w:fill="dce6f2" w:themeFill="accent1" w:themeFillTint="32"/>
      </w:tcPr>
    </w:tblStylePr>
    <w:tblStylePr w:type="band1Vert">
      <w:rPr>
        <w:rFonts w:ascii="Arial" w:hAnsi="Arial"/>
        <w:color w:val="404040"/>
        <w:sz w:val="22"/>
      </w:rPr>
      <w:tcPr>
        <w:shd w:val="clear" w:color="dce6f2" w:themeColor="accent1" w:themeTint="32" w:fill="dce6f2" w:themeFill="accent1" w:themeFillTint="32"/>
      </w:tcPr>
    </w:tblStylePr>
    <w:tblStylePr w:type="firstCol">
      <w:rPr>
        <w:b/>
        <w:color w:val="404040"/>
      </w:rPr>
    </w:tblStylePr>
    <w:tblStylePr w:type="firstRow">
      <w:rPr>
        <w:rFonts w:ascii="Arial" w:hAnsi="Arial"/>
        <w:b/>
        <w:color w:val="ffffff"/>
        <w:sz w:val="22"/>
      </w:r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tblStylePr>
    <w:tblStylePr w:type="lastRow">
      <w:rPr>
        <w:b/>
        <w:color w:val="404040"/>
      </w:rPr>
      <w:tcPr>
        <w:tcBorders>
          <w:top w:val="single" w:color="5D8AC2" w:themeColor="accent1" w:themeTint="EA" w:sz="4" w:space="0"/>
        </w:tcBorders>
      </w:tcPr>
    </w:tblStylePr>
  </w:style>
  <w:style w:type="table" w:styleId="1631" w:customStyle="1">
    <w:name w:val="Grid Table 4 - Accent 2"/>
    <w:basedOn w:val="1579"/>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tblStylePr>
    <w:tblStylePr w:type="lastRow">
      <w:rPr>
        <w:b/>
        <w:color w:val="404040"/>
      </w:rPr>
      <w:tcPr>
        <w:tcBorders>
          <w:top w:val="single" w:color="D99695" w:themeColor="accent2" w:themeTint="97" w:sz="4" w:space="0"/>
        </w:tcBorders>
      </w:tcPr>
    </w:tblStylePr>
  </w:style>
  <w:style w:type="table" w:styleId="1632" w:customStyle="1">
    <w:name w:val="Grid Table 4 - Accent 3"/>
    <w:basedOn w:val="1579"/>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rFonts w:ascii="Arial" w:hAnsi="Arial"/>
        <w:b/>
        <w:color w:val="ffffff"/>
        <w:sz w:val="22"/>
      </w:r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tblStylePr>
    <w:tblStylePr w:type="lastRow">
      <w:rPr>
        <w:b/>
        <w:color w:val="404040"/>
      </w:rPr>
      <w:tcPr>
        <w:tcBorders>
          <w:top w:val="single" w:color="9ABB59" w:themeColor="accent3" w:themeTint="FE" w:sz="4" w:space="0"/>
        </w:tcBorders>
      </w:tcPr>
    </w:tblStylePr>
  </w:style>
  <w:style w:type="table" w:styleId="1633" w:customStyle="1">
    <w:name w:val="Grid Table 4 - Accent 4"/>
    <w:basedOn w:val="1579"/>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tblStylePr>
    <w:tblStylePr w:type="lastRow">
      <w:rPr>
        <w:b/>
        <w:color w:val="404040"/>
      </w:rPr>
      <w:tcPr>
        <w:tcBorders>
          <w:top w:val="single" w:color="B2A1C6" w:themeColor="accent4" w:themeTint="9A" w:sz="4" w:space="0"/>
        </w:tcBorders>
      </w:tcPr>
    </w:tblStylePr>
  </w:style>
  <w:style w:type="table" w:styleId="1634" w:customStyle="1">
    <w:name w:val="Grid Table 4 - Accent 5"/>
    <w:basedOn w:val="1579"/>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tblStylePr>
    <w:tblStylePr w:type="lastRow">
      <w:rPr>
        <w:b/>
        <w:color w:val="404040"/>
      </w:rPr>
      <w:tcPr>
        <w:tcBorders>
          <w:top w:val="single" w:color="4BACC6" w:themeColor="accent5" w:sz="4" w:space="0"/>
        </w:tcBorders>
      </w:tcPr>
    </w:tblStylePr>
  </w:style>
  <w:style w:type="table" w:styleId="1635" w:customStyle="1">
    <w:name w:val="Grid Table 4 - Accent 6"/>
    <w:basedOn w:val="1579"/>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tblStylePr>
    <w:tblStylePr w:type="lastRow">
      <w:rPr>
        <w:b/>
        <w:color w:val="404040"/>
      </w:rPr>
      <w:tcPr>
        <w:tcBorders>
          <w:top w:val="single" w:color="F79646" w:themeColor="accent6" w:sz="4" w:space="0"/>
        </w:tcBorders>
      </w:tcPr>
    </w:tblStylePr>
  </w:style>
  <w:style w:type="table" w:styleId="1636">
    <w:name w:val="Grid Table 5 Dark"/>
    <w:basedOn w:val="1579"/>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1637" w:customStyle="1">
    <w:name w:val="Grid Table 5 Dark- Accent 1"/>
    <w:basedOn w:val="1579"/>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Pr>
    <w:tblStylePr w:type="band1Horz">
      <w:tcPr>
        <w:shd w:val="clear" w:color="aec4e0" w:themeColor="accent1" w:themeTint="75" w:fill="aec4e0" w:themeFill="accent1" w:themeFillTint="75"/>
      </w:tcPr>
    </w:tblStylePr>
    <w:tblStylePr w:type="band1Vert">
      <w:tcPr>
        <w:shd w:val="clear" w:color="aec4e0" w:themeColor="accent1" w:themeTint="75" w:fill="aec4e0" w:themeFill="accent1" w:themeFillTint="75"/>
      </w:tcPr>
    </w:tblStylePr>
    <w:tblStylePr w:type="firstCol">
      <w:rPr>
        <w:rFonts w:ascii="Arial" w:hAnsi="Arial"/>
        <w:b/>
        <w:color w:val="ffffff"/>
        <w:sz w:val="22"/>
      </w:rPr>
      <w:tcPr>
        <w:shd w:val="clear" w:color="4f81bd" w:themeColor="accent1" w:fill="4f81bd" w:themeFill="accent1"/>
      </w:tcPr>
    </w:tblStylePr>
    <w:tblStylePr w:type="firstRow">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shd w:val="clear" w:color="4f81bd" w:themeColor="accent1" w:fill="4f81bd" w:themeFill="accent1"/>
        <w:tcBorders>
          <w:top w:val="single" w:color="FFFFFF" w:themeColor="light1" w:sz="4" w:space="0"/>
        </w:tcBorders>
      </w:tcPr>
    </w:tblStylePr>
  </w:style>
  <w:style w:type="table" w:styleId="1638" w:customStyle="1">
    <w:name w:val="Grid Table 5 Dark - Accent 2"/>
    <w:basedOn w:val="1579"/>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Pr>
    <w:tblStylePr w:type="band1Horz">
      <w:tcPr>
        <w:shd w:val="clear" w:color="e2aead" w:themeColor="accent2" w:themeTint="75" w:fill="e2aead" w:themeFill="accent2" w:themeFillTint="75"/>
      </w:tcPr>
    </w:tblStylePr>
    <w:tblStylePr w:type="band1Vert">
      <w:tcPr>
        <w:shd w:val="clear" w:color="e2aead" w:themeColor="accent2" w:themeTint="75" w:fill="e2aead" w:themeFill="accent2" w:themeFillTint="75"/>
      </w:tcPr>
    </w:tblStylePr>
    <w:tblStylePr w:type="firstCol">
      <w:rPr>
        <w:rFonts w:ascii="Arial" w:hAnsi="Arial"/>
        <w:b/>
        <w:color w:val="ffffff"/>
        <w:sz w:val="22"/>
      </w:rPr>
      <w:tcPr>
        <w:shd w:val="clear" w:color="c0504d" w:themeColor="accent2" w:fill="c0504d" w:themeFill="accent2"/>
      </w:tcPr>
    </w:tblStylePr>
    <w:tblStylePr w:type="firstRow">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shd w:val="clear" w:color="c0504d" w:themeColor="accent2" w:fill="c0504d" w:themeFill="accent2"/>
        <w:tcBorders>
          <w:top w:val="single" w:color="FFFFFF" w:themeColor="light1" w:sz="4" w:space="0"/>
        </w:tcBorders>
      </w:tcPr>
    </w:tblStylePr>
  </w:style>
  <w:style w:type="table" w:styleId="1639" w:customStyle="1">
    <w:name w:val="Grid Table 5 Dark - Accent 3"/>
    <w:basedOn w:val="1579"/>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Pr>
    <w:tblStylePr w:type="band1Horz">
      <w:tcPr>
        <w:shd w:val="clear" w:color="d0dfb2" w:themeColor="accent3" w:themeTint="75" w:fill="d0dfb2" w:themeFill="accent3" w:themeFillTint="75"/>
      </w:tcPr>
    </w:tblStylePr>
    <w:tblStylePr w:type="band1Vert">
      <w:tcPr>
        <w:shd w:val="clear" w:color="d0dfb2" w:themeColor="accent3" w:themeTint="75" w:fill="d0dfb2" w:themeFill="accent3" w:themeFillTint="75"/>
      </w:tcPr>
    </w:tblStylePr>
    <w:tblStylePr w:type="firstCol">
      <w:rPr>
        <w:rFonts w:ascii="Arial" w:hAnsi="Arial"/>
        <w:b/>
        <w:color w:val="ffffff"/>
        <w:sz w:val="22"/>
      </w:rPr>
      <w:tcPr>
        <w:shd w:val="clear" w:color="9bbb59" w:themeColor="accent3" w:fill="9bbb59" w:themeFill="accent3"/>
      </w:tcPr>
    </w:tblStylePr>
    <w:tblStylePr w:type="firstRow">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shd w:val="clear" w:color="9bbb59" w:themeColor="accent3" w:fill="9bbb59" w:themeFill="accent3"/>
        <w:tcBorders>
          <w:top w:val="single" w:color="FFFFFF" w:themeColor="light1" w:sz="4" w:space="0"/>
        </w:tcBorders>
      </w:tcPr>
    </w:tblStylePr>
  </w:style>
  <w:style w:type="table" w:styleId="1640" w:customStyle="1">
    <w:name w:val="Grid Table 5 Dark- Accent 4"/>
    <w:basedOn w:val="1579"/>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Pr>
    <w:tblStylePr w:type="band1Horz">
      <w:tcPr>
        <w:shd w:val="clear" w:color="c4b7d4" w:themeColor="accent4" w:themeTint="75" w:fill="c4b7d4" w:themeFill="accent4" w:themeFillTint="75"/>
      </w:tcPr>
    </w:tblStylePr>
    <w:tblStylePr w:type="band1Vert">
      <w:tcPr>
        <w:shd w:val="clear" w:color="c4b7d4" w:themeColor="accent4" w:themeTint="75" w:fill="c4b7d4" w:themeFill="accent4" w:themeFillTint="75"/>
      </w:tcPr>
    </w:tblStylePr>
    <w:tblStylePr w:type="firstCol">
      <w:rPr>
        <w:rFonts w:ascii="Arial" w:hAnsi="Arial"/>
        <w:b/>
        <w:color w:val="ffffff"/>
        <w:sz w:val="22"/>
      </w:rPr>
      <w:tcPr>
        <w:shd w:val="clear" w:color="8064a2" w:themeColor="accent4" w:fill="8064a2" w:themeFill="accent4"/>
      </w:tcPr>
    </w:tblStylePr>
    <w:tblStylePr w:type="firstRow">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shd w:val="clear" w:color="8064a2" w:themeColor="accent4" w:fill="8064a2" w:themeFill="accent4"/>
        <w:tcBorders>
          <w:top w:val="single" w:color="FFFFFF" w:themeColor="light1" w:sz="4" w:space="0"/>
        </w:tcBorders>
      </w:tcPr>
    </w:tblStylePr>
  </w:style>
  <w:style w:type="table" w:styleId="1641" w:customStyle="1">
    <w:name w:val="Grid Table 5 Dark - Accent 5"/>
    <w:basedOn w:val="1579"/>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Pr>
    <w:tblStylePr w:type="band1Horz">
      <w:tcPr>
        <w:shd w:val="clear" w:color="acd8e4" w:themeColor="accent5" w:themeTint="75" w:fill="acd8e4" w:themeFill="accent5" w:themeFillTint="75"/>
      </w:tcPr>
    </w:tblStylePr>
    <w:tblStylePr w:type="band1Vert">
      <w:tcPr>
        <w:shd w:val="clear" w:color="acd8e4" w:themeColor="accent5" w:themeTint="75" w:fill="acd8e4" w:themeFill="accent5" w:themeFillTint="75"/>
      </w:tcPr>
    </w:tblStylePr>
    <w:tblStylePr w:type="firstCol">
      <w:rPr>
        <w:rFonts w:ascii="Arial" w:hAnsi="Arial"/>
        <w:b/>
        <w:color w:val="ffffff"/>
        <w:sz w:val="22"/>
      </w:rPr>
      <w:tcPr>
        <w:shd w:val="clear" w:color="4bacc6" w:themeColor="accent5" w:fill="4bacc6" w:themeFill="accent5"/>
      </w:tcPr>
    </w:tblStylePr>
    <w:tblStylePr w:type="firstRow">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shd w:val="clear" w:color="4bacc6" w:themeColor="accent5" w:fill="4bacc6" w:themeFill="accent5"/>
        <w:tcBorders>
          <w:top w:val="single" w:color="FFFFFF" w:themeColor="light1" w:sz="4" w:space="0"/>
        </w:tcBorders>
      </w:tcPr>
    </w:tblStylePr>
  </w:style>
  <w:style w:type="table" w:styleId="1642" w:customStyle="1">
    <w:name w:val="Grid Table 5 Dark - Accent 6"/>
    <w:basedOn w:val="1579"/>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Pr>
    <w:tblStylePr w:type="band1Horz">
      <w:tcPr>
        <w:shd w:val="clear" w:color="fbceaa" w:themeColor="accent6" w:themeTint="75" w:fill="fbceaa" w:themeFill="accent6" w:themeFillTint="75"/>
      </w:tcPr>
    </w:tblStylePr>
    <w:tblStylePr w:type="band1Vert">
      <w:tcPr>
        <w:shd w:val="clear" w:color="fbceaa" w:themeColor="accent6" w:themeTint="75" w:fill="fbceaa" w:themeFill="accent6" w:themeFillTint="75"/>
      </w:tcPr>
    </w:tblStylePr>
    <w:tblStylePr w:type="firstCol">
      <w:rPr>
        <w:rFonts w:ascii="Arial" w:hAnsi="Arial"/>
        <w:b/>
        <w:color w:val="ffffff"/>
        <w:sz w:val="22"/>
      </w:rPr>
      <w:tcPr>
        <w:shd w:val="clear" w:color="f79646" w:themeColor="accent6" w:fill="f79646" w:themeFill="accent6"/>
      </w:tcPr>
    </w:tblStylePr>
    <w:tblStylePr w:type="firstRow">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shd w:val="clear" w:color="f79646" w:themeColor="accent6" w:fill="f79646" w:themeFill="accent6"/>
        <w:tcBorders>
          <w:top w:val="single" w:color="FFFFFF" w:themeColor="light1" w:sz="4" w:space="0"/>
        </w:tcBorders>
      </w:tcPr>
    </w:tblStylePr>
  </w:style>
  <w:style w:type="table" w:styleId="1643">
    <w:name w:val="Grid Table 6 Colorful"/>
    <w:basedOn w:val="1579"/>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1644" w:customStyle="1">
    <w:name w:val="Grid Table 6 Colorful - Accent 1"/>
    <w:basedOn w:val="1579"/>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b/>
        <w:color w:val="a6bfdd" w:themeColor="accent1" w:themeTint="80" w:themeShade="95"/>
      </w:rPr>
    </w:tblStylePr>
    <w:tblStylePr w:type="firstRow">
      <w:rPr>
        <w:b/>
        <w:color w:val="a6bfdd" w:themeColor="accent1" w:themeTint="80" w:themeShade="95"/>
      </w:rPr>
      <w:tcPr>
        <w:tcBorders>
          <w:bottom w:val="single" w:color="A6BFDD" w:themeColor="accent1" w:themeTint="80" w:sz="12" w:space="0"/>
        </w:tcBorders>
      </w:tcPr>
    </w:tblStylePr>
    <w:tblStylePr w:type="lastCol">
      <w:rPr>
        <w:b/>
        <w:color w:val="a6bfdd" w:themeColor="accent1" w:themeTint="80" w:themeShade="95"/>
      </w:rPr>
    </w:tblStylePr>
    <w:tblStylePr w:type="lastRow">
      <w:rPr>
        <w:b/>
        <w:color w:val="a6bfdd" w:themeColor="accent1" w:themeTint="80" w:themeShade="95"/>
      </w:rPr>
    </w:tblStylePr>
  </w:style>
  <w:style w:type="table" w:styleId="1645" w:customStyle="1">
    <w:name w:val="Grid Table 6 Colorful - Accent 2"/>
    <w:basedOn w:val="1579"/>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12" w:space="0"/>
        </w:tcBorders>
      </w:tcPr>
    </w:tblStylePr>
    <w:tblStylePr w:type="lastCol">
      <w:rPr>
        <w:b/>
        <w:color w:val="d99695" w:themeColor="accent2" w:themeTint="97" w:themeShade="95"/>
      </w:rPr>
    </w:tblStylePr>
    <w:tblStylePr w:type="lastRow">
      <w:rPr>
        <w:b/>
        <w:color w:val="d99695" w:themeColor="accent2" w:themeTint="97" w:themeShade="95"/>
      </w:rPr>
    </w:tblStylePr>
  </w:style>
  <w:style w:type="table" w:styleId="1646" w:customStyle="1">
    <w:name w:val="Grid Table 6 Colorful - Accent 3"/>
    <w:basedOn w:val="1579"/>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b/>
        <w:color w:val="9abb59" w:themeColor="accent3" w:themeTint="FE" w:themeShade="95"/>
      </w:rPr>
    </w:tblStylePr>
    <w:tblStylePr w:type="firstRow">
      <w:rPr>
        <w:b/>
        <w:color w:val="9abb59" w:themeColor="accent3" w:themeTint="FE" w:themeShade="95"/>
      </w:rPr>
      <w:tcPr>
        <w:tcBorders>
          <w:bottom w:val="single" w:color="9ABB59" w:themeColor="accent3" w:themeTint="FE" w:sz="12" w:space="0"/>
        </w:tcBorders>
      </w:tcPr>
    </w:tblStylePr>
    <w:tblStylePr w:type="lastCol">
      <w:rPr>
        <w:b/>
        <w:color w:val="9abb59" w:themeColor="accent3" w:themeTint="FE" w:themeShade="95"/>
      </w:rPr>
    </w:tblStylePr>
    <w:tblStylePr w:type="lastRow">
      <w:rPr>
        <w:b/>
        <w:color w:val="9abb59" w:themeColor="accent3" w:themeTint="FE" w:themeShade="95"/>
      </w:rPr>
    </w:tblStylePr>
  </w:style>
  <w:style w:type="table" w:styleId="1647" w:customStyle="1">
    <w:name w:val="Grid Table 6 Colorful - Accent 4"/>
    <w:basedOn w:val="1579"/>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12" w:space="0"/>
        </w:tcBorders>
      </w:tcPr>
    </w:tblStylePr>
    <w:tblStylePr w:type="lastCol">
      <w:rPr>
        <w:b/>
        <w:color w:val="b2a1c6" w:themeColor="accent4" w:themeTint="9A" w:themeShade="95"/>
      </w:rPr>
    </w:tblStylePr>
    <w:tblStylePr w:type="lastRow">
      <w:rPr>
        <w:b/>
        <w:color w:val="b2a1c6" w:themeColor="accent4" w:themeTint="9A" w:themeShade="95"/>
      </w:rPr>
    </w:tblStylePr>
  </w:style>
  <w:style w:type="table" w:styleId="1648" w:customStyle="1">
    <w:name w:val="Grid Table 6 Colorful - Accent 5"/>
    <w:basedOn w:val="1579"/>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4BACC6" w:themeColor="accent5" w:sz="12" w:space="0"/>
        </w:tcBorders>
      </w:tcPr>
    </w:tblStylePr>
    <w:tblStylePr w:type="lastCol">
      <w:rPr>
        <w:b/>
        <w:color w:val="266779" w:themeColor="accent5" w:themeShade="95"/>
      </w:rPr>
    </w:tblStylePr>
    <w:tblStylePr w:type="lastRow">
      <w:rPr>
        <w:b/>
        <w:color w:val="266779" w:themeColor="accent5" w:themeShade="95"/>
      </w:rPr>
    </w:tblStylePr>
  </w:style>
  <w:style w:type="table" w:styleId="1649" w:customStyle="1">
    <w:name w:val="Grid Table 6 Colorful - Accent 6"/>
    <w:basedOn w:val="1579"/>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266779" w:themeColor="accent5"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F79646" w:themeColor="accent6" w:sz="12" w:space="0"/>
        </w:tcBorders>
      </w:tcPr>
    </w:tblStylePr>
    <w:tblStylePr w:type="lastCol">
      <w:rPr>
        <w:b/>
        <w:color w:val="266779" w:themeColor="accent5" w:themeShade="95"/>
      </w:rPr>
    </w:tblStylePr>
    <w:tblStylePr w:type="lastRow">
      <w:rPr>
        <w:b/>
        <w:color w:val="266779" w:themeColor="accent5" w:themeShade="95"/>
      </w:rPr>
    </w:tblStylePr>
  </w:style>
  <w:style w:type="table" w:styleId="1650">
    <w:name w:val="Grid Table 7 Colorful"/>
    <w:basedOn w:val="1579"/>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style>
  <w:style w:type="table" w:styleId="1651" w:customStyle="1">
    <w:name w:val="Grid Table 7 Colorful - Accent 1"/>
    <w:basedOn w:val="1579"/>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rFonts w:ascii="Arial" w:hAnsi="Arial"/>
        <w:i/>
        <w:color w:val="a6bfdd" w:themeColor="accent1" w:themeTint="80" w:themeShade="95"/>
        <w:sz w:val="22"/>
      </w:rPr>
      <w:pPr>
        <w:jc w:val="right"/>
      </w:pPr>
      <w:tcPr>
        <w:shd w:val="clear" w:color="ffffff" w:fill="auto"/>
        <w:tcBorders>
          <w:top w:val="none" w:color="000000" w:sz="0" w:space="0"/>
          <w:left w:val="none" w:color="000000" w:sz="0" w:space="0"/>
          <w:bottom w:val="none" w:color="000000" w:sz="0" w:space="0"/>
          <w:right w:val="single" w:color="A6BFDD" w:themeColor="accent1" w:themeTint="80" w:sz="4" w:space="0"/>
        </w:tcBorders>
      </w:tcPr>
    </w:tblStylePr>
    <w:tblStylePr w:type="firstRow">
      <w:rPr>
        <w:rFonts w:ascii="Arial" w:hAnsi="Arial"/>
        <w:b/>
        <w:color w:val="a6bfdd" w:themeColor="accent1" w:themeTint="80" w:themeShade="95"/>
        <w:sz w:val="22"/>
      </w:rPr>
      <w:tcPr>
        <w:shd w:val="clear" w:color="ffffff" w:themeColor="light1" w:fill="ffffff" w:themeFill="light1"/>
        <w:tcBorders>
          <w:top w:val="none" w:color="000000" w:sz="0" w:space="0"/>
          <w:left w:val="none" w:color="000000" w:sz="0" w:space="0"/>
          <w:bottom w:val="single" w:color="A6BFDD" w:themeColor="accent1" w:themeTint="80" w:sz="4" w:space="0"/>
          <w:right w:val="none" w:color="000000" w:sz="0" w:space="0"/>
        </w:tcBorders>
      </w:tcPr>
    </w:tblStylePr>
    <w:tblStylePr w:type="lastCol">
      <w:rPr>
        <w:rFonts w:ascii="Arial" w:hAnsi="Arial"/>
        <w:i/>
        <w:color w:val="a6bfdd" w:themeColor="accent1" w:themeTint="80" w:themeShade="95"/>
        <w:sz w:val="22"/>
      </w:rPr>
      <w:tcPr>
        <w:shd w:val="clear" w:color="ffffff" w:fill="auto"/>
        <w:tcBorders>
          <w:top w:val="none" w:color="000000" w:sz="0" w:space="0"/>
          <w:left w:val="single" w:color="A6BFDD" w:themeColor="accent1" w:themeTint="80" w:sz="4" w:space="0"/>
          <w:bottom w:val="none" w:color="000000" w:sz="0" w:space="0"/>
          <w:right w:val="none" w:color="000000" w:sz="0" w:space="0"/>
        </w:tcBorders>
      </w:tcPr>
    </w:tblStylePr>
    <w:tblStylePr w:type="lastRow">
      <w:rPr>
        <w:rFonts w:ascii="Arial" w:hAnsi="Arial"/>
        <w:b/>
        <w:color w:val="a6bfdd" w:themeColor="accent1" w:themeTint="80" w:themeShade="95"/>
        <w:sz w:val="22"/>
      </w:rPr>
      <w:tcPr>
        <w:shd w:val="clear" w:color="ffffff" w:themeColor="light1" w:fill="ffffff" w:themeFill="light1"/>
        <w:tcBorders>
          <w:top w:val="single" w:color="A6BFDD" w:themeColor="accent1" w:themeTint="80" w:sz="4" w:space="0"/>
          <w:left w:val="none" w:color="000000" w:sz="0" w:space="0"/>
          <w:bottom w:val="none" w:color="000000" w:sz="0" w:space="0"/>
          <w:right w:val="none" w:color="000000" w:sz="0" w:space="0"/>
        </w:tcBorders>
      </w:tcPr>
    </w:tblStylePr>
  </w:style>
  <w:style w:type="table" w:styleId="1652" w:customStyle="1">
    <w:name w:val="Grid Table 7 Colorful - Accent 2"/>
    <w:basedOn w:val="1579"/>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0" w:space="0"/>
          <w:left w:val="none" w:color="000000" w:sz="0" w:space="0"/>
          <w:bottom w:val="none" w:color="000000" w:sz="0" w:space="0"/>
          <w:right w:val="single" w:color="D99695" w:themeColor="accent2" w:themeTint="97" w:sz="4" w:space="0"/>
        </w:tcBorders>
      </w:tcPr>
    </w:tblStylePr>
    <w:tblStylePr w:type="firstRow">
      <w:rPr>
        <w:rFonts w:ascii="Arial" w:hAnsi="Arial"/>
        <w:b/>
        <w:color w:val="d99695" w:themeColor="accent2" w:themeTint="97" w:themeShade="95"/>
        <w:sz w:val="22"/>
      </w:rPr>
      <w:tcPr>
        <w:shd w:val="clear" w:color="ffffff" w:themeColor="light1" w:fill="ffffff" w:themeFill="light1"/>
        <w:tcBorders>
          <w:top w:val="none" w:color="000000" w:sz="0" w:space="0"/>
          <w:left w:val="none" w:color="000000" w:sz="0" w:space="0"/>
          <w:bottom w:val="single" w:color="D99695" w:themeColor="accent2" w:themeTint="97" w:sz="4" w:space="0"/>
          <w:right w:val="none" w:color="000000" w:sz="0" w:space="0"/>
        </w:tcBorders>
      </w:tcPr>
    </w:tblStylePr>
    <w:tblStylePr w:type="lastCol">
      <w:rPr>
        <w:rFonts w:ascii="Arial" w:hAnsi="Arial"/>
        <w:i/>
        <w:color w:val="d99695" w:themeColor="accent2" w:themeTint="97" w:themeShade="95"/>
        <w:sz w:val="22"/>
      </w:rPr>
      <w:tcPr>
        <w:shd w:val="clear" w:color="ffffff" w:fill="auto"/>
        <w:tcBorders>
          <w:top w:val="none" w:color="000000" w:sz="0" w:space="0"/>
          <w:left w:val="single" w:color="D99695" w:themeColor="accent2" w:themeTint="97" w:sz="4" w:space="0"/>
          <w:bottom w:val="none" w:color="000000" w:sz="0" w:space="0"/>
          <w:right w:val="none" w:color="000000" w:sz="0" w:space="0"/>
        </w:tcBorders>
      </w:tcPr>
    </w:tblStylePr>
    <w:tblStylePr w:type="lastRow">
      <w:rPr>
        <w:rFonts w:ascii="Arial" w:hAnsi="Arial"/>
        <w:b/>
        <w:color w:val="d99695" w:themeColor="accent2" w:themeTint="97" w:themeShade="95"/>
        <w:sz w:val="22"/>
      </w:rPr>
      <w:tcPr>
        <w:shd w:val="clear" w:color="ffffff" w:themeColor="light1" w:fill="ffffff" w:themeFill="light1"/>
        <w:tcBorders>
          <w:top w:val="single" w:color="D99695" w:themeColor="accent2" w:themeTint="97" w:sz="4" w:space="0"/>
          <w:left w:val="none" w:color="000000" w:sz="0" w:space="0"/>
          <w:bottom w:val="none" w:color="000000" w:sz="0" w:space="0"/>
          <w:right w:val="none" w:color="000000" w:sz="0" w:space="0"/>
        </w:tcBorders>
      </w:tcPr>
    </w:tblStylePr>
  </w:style>
  <w:style w:type="table" w:styleId="1653" w:customStyle="1">
    <w:name w:val="Grid Table 7 Colorful - Accent 3"/>
    <w:basedOn w:val="1579"/>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rFonts w:ascii="Arial" w:hAnsi="Arial"/>
        <w:i/>
        <w:color w:val="9abb59" w:themeColor="accent3" w:themeTint="FE" w:themeShade="95"/>
        <w:sz w:val="22"/>
      </w:rPr>
      <w:pPr>
        <w:jc w:val="right"/>
      </w:pPr>
      <w:tcPr>
        <w:shd w:val="clear" w:color="ffffff" w:fill="auto"/>
        <w:tcBorders>
          <w:top w:val="none" w:color="000000" w:sz="0" w:space="0"/>
          <w:left w:val="none" w:color="000000" w:sz="0" w:space="0"/>
          <w:bottom w:val="none" w:color="000000" w:sz="0" w:space="0"/>
          <w:right w:val="single" w:color="9ABB59" w:themeColor="accent3" w:themeTint="FE" w:sz="4" w:space="0"/>
        </w:tcBorders>
      </w:tcPr>
    </w:tblStylePr>
    <w:tblStylePr w:type="firstRow">
      <w:rPr>
        <w:rFonts w:ascii="Arial" w:hAnsi="Arial"/>
        <w:b/>
        <w:color w:val="9abb59" w:themeColor="accent3" w:themeTint="FE" w:themeShade="95"/>
        <w:sz w:val="22"/>
      </w:rPr>
      <w:tcPr>
        <w:shd w:val="clear" w:color="ffffff" w:themeColor="light1" w:fill="ffffff" w:themeFill="light1"/>
        <w:tcBorders>
          <w:top w:val="none" w:color="000000" w:sz="0" w:space="0"/>
          <w:left w:val="none" w:color="000000" w:sz="0" w:space="0"/>
          <w:bottom w:val="single" w:color="9ABB59" w:themeColor="accent3" w:themeTint="FE" w:sz="4" w:space="0"/>
          <w:right w:val="none" w:color="000000" w:sz="0" w:space="0"/>
        </w:tcBorders>
      </w:tcPr>
    </w:tblStylePr>
    <w:tblStylePr w:type="lastCol">
      <w:rPr>
        <w:rFonts w:ascii="Arial" w:hAnsi="Arial"/>
        <w:i/>
        <w:color w:val="9abb59" w:themeColor="accent3" w:themeTint="FE" w:themeShade="95"/>
        <w:sz w:val="22"/>
      </w:rPr>
      <w:tcPr>
        <w:shd w:val="clear" w:color="ffffff" w:fill="auto"/>
        <w:tcBorders>
          <w:top w:val="none" w:color="000000" w:sz="0" w:space="0"/>
          <w:left w:val="single" w:color="9ABB59" w:themeColor="accent3" w:themeTint="FE" w:sz="4" w:space="0"/>
          <w:bottom w:val="none" w:color="000000" w:sz="0" w:space="0"/>
          <w:right w:val="none" w:color="000000" w:sz="0" w:space="0"/>
        </w:tcBorders>
      </w:tcPr>
    </w:tblStylePr>
    <w:tblStylePr w:type="lastRow">
      <w:rPr>
        <w:rFonts w:ascii="Arial" w:hAnsi="Arial"/>
        <w:b/>
        <w:color w:val="9abb59" w:themeColor="accent3" w:themeTint="FE" w:themeShade="95"/>
        <w:sz w:val="22"/>
      </w:rPr>
      <w:tcPr>
        <w:shd w:val="clear" w:color="ffffff" w:themeColor="light1" w:fill="ffffff" w:themeFill="light1"/>
        <w:tcBorders>
          <w:top w:val="single" w:color="9ABB59" w:themeColor="accent3" w:themeTint="FE" w:sz="4" w:space="0"/>
          <w:left w:val="none" w:color="000000" w:sz="0" w:space="0"/>
          <w:bottom w:val="none" w:color="000000" w:sz="0" w:space="0"/>
          <w:right w:val="none" w:color="000000" w:sz="0" w:space="0"/>
        </w:tcBorders>
      </w:tcPr>
    </w:tblStylePr>
  </w:style>
  <w:style w:type="table" w:styleId="1654" w:customStyle="1">
    <w:name w:val="Grid Table 7 Colorful - Accent 4"/>
    <w:basedOn w:val="1579"/>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0" w:space="0"/>
          <w:left w:val="none" w:color="000000" w:sz="0" w:space="0"/>
          <w:bottom w:val="none" w:color="000000" w:sz="0" w:space="0"/>
          <w:right w:val="single" w:color="B2A1C6" w:themeColor="accent4" w:themeTint="9A" w:sz="4" w:space="0"/>
        </w:tcBorders>
      </w:tcPr>
    </w:tblStylePr>
    <w:tblStylePr w:type="firstRow">
      <w:rPr>
        <w:rFonts w:ascii="Arial" w:hAnsi="Arial"/>
        <w:b/>
        <w:color w:val="b2a1c6" w:themeColor="accent4" w:themeTint="9A" w:themeShade="95"/>
        <w:sz w:val="22"/>
      </w:rPr>
      <w:tcPr>
        <w:shd w:val="clear" w:color="ffffff" w:themeColor="light1" w:fill="ffffff" w:themeFill="light1"/>
        <w:tcBorders>
          <w:top w:val="none" w:color="000000" w:sz="0" w:space="0"/>
          <w:left w:val="none" w:color="000000" w:sz="0" w:space="0"/>
          <w:bottom w:val="single" w:color="B2A1C6" w:themeColor="accent4" w:themeTint="9A" w:sz="4" w:space="0"/>
          <w:right w:val="none" w:color="000000" w:sz="0" w:space="0"/>
        </w:tcBorders>
      </w:tcPr>
    </w:tblStylePr>
    <w:tblStylePr w:type="lastCol">
      <w:rPr>
        <w:rFonts w:ascii="Arial" w:hAnsi="Arial"/>
        <w:i/>
        <w:color w:val="b2a1c6" w:themeColor="accent4" w:themeTint="9A" w:themeShade="95"/>
        <w:sz w:val="22"/>
      </w:rPr>
      <w:tcPr>
        <w:shd w:val="clear" w:color="ffffff" w:fill="auto"/>
        <w:tcBorders>
          <w:top w:val="none" w:color="000000" w:sz="0" w:space="0"/>
          <w:left w:val="single" w:color="B2A1C6" w:themeColor="accent4" w:themeTint="9A" w:sz="4" w:space="0"/>
          <w:bottom w:val="none" w:color="000000" w:sz="0" w:space="0"/>
          <w:right w:val="none" w:color="000000" w:sz="0" w:space="0"/>
        </w:tcBorders>
      </w:tcPr>
    </w:tblStylePr>
    <w:tblStylePr w:type="lastRow">
      <w:rPr>
        <w:rFonts w:ascii="Arial" w:hAnsi="Arial"/>
        <w:b/>
        <w:color w:val="b2a1c6" w:themeColor="accent4" w:themeTint="9A" w:themeShade="95"/>
        <w:sz w:val="22"/>
      </w:rPr>
      <w:tcPr>
        <w:shd w:val="clear" w:color="ffffff" w:themeColor="light1" w:fill="ffffff" w:themeFill="light1"/>
        <w:tcBorders>
          <w:top w:val="single" w:color="B2A1C6" w:themeColor="accent4" w:themeTint="9A" w:sz="4" w:space="0"/>
          <w:left w:val="none" w:color="000000" w:sz="0" w:space="0"/>
          <w:bottom w:val="none" w:color="000000" w:sz="0" w:space="0"/>
          <w:right w:val="none" w:color="000000" w:sz="0" w:space="0"/>
        </w:tcBorders>
      </w:tcPr>
    </w:tblStylePr>
  </w:style>
  <w:style w:type="table" w:styleId="1655" w:customStyle="1">
    <w:name w:val="Grid Table 7 Colorful - Accent 5"/>
    <w:basedOn w:val="1579"/>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rFonts w:ascii="Arial" w:hAnsi="Arial"/>
        <w:i/>
        <w:color w:val="266779" w:themeColor="accent5" w:themeShade="95"/>
        <w:sz w:val="22"/>
      </w:rPr>
      <w:pPr>
        <w:jc w:val="right"/>
      </w:pPr>
      <w:tcPr>
        <w:shd w:val="clear" w:color="ffffff" w:fill="auto"/>
        <w:tcBorders>
          <w:top w:val="none" w:color="000000" w:sz="0" w:space="0"/>
          <w:left w:val="none" w:color="000000" w:sz="0" w:space="0"/>
          <w:bottom w:val="none" w:color="000000" w:sz="0" w:space="0"/>
          <w:right w:val="single" w:color="99D0DE" w:themeColor="accent5" w:themeTint="90" w:sz="4" w:space="0"/>
        </w:tcBorders>
      </w:tcPr>
    </w:tblStylePr>
    <w:tblStylePr w:type="firstRow">
      <w:rPr>
        <w:rFonts w:ascii="Arial" w:hAnsi="Arial"/>
        <w:b/>
        <w:color w:val="266779" w:themeColor="accent5" w:themeShade="95"/>
        <w:sz w:val="22"/>
      </w:rPr>
      <w:tcPr>
        <w:shd w:val="clear" w:color="ffffff" w:themeColor="light1" w:fill="ffffff" w:themeFill="light1"/>
        <w:tcBorders>
          <w:top w:val="none" w:color="000000" w:sz="0" w:space="0"/>
          <w:left w:val="none" w:color="000000" w:sz="0" w:space="0"/>
          <w:bottom w:val="single" w:color="99D0DE" w:themeColor="accent5" w:themeTint="90" w:sz="4" w:space="0"/>
          <w:right w:val="none" w:color="000000" w:sz="0" w:space="0"/>
        </w:tcBorders>
      </w:tcPr>
    </w:tblStylePr>
    <w:tblStylePr w:type="lastCol">
      <w:rPr>
        <w:rFonts w:ascii="Arial" w:hAnsi="Arial"/>
        <w:i/>
        <w:color w:val="266779" w:themeColor="accent5" w:themeShade="95"/>
        <w:sz w:val="22"/>
      </w:rPr>
      <w:tcPr>
        <w:shd w:val="clear" w:color="ffffff" w:fill="auto"/>
        <w:tcBorders>
          <w:top w:val="none" w:color="000000" w:sz="0" w:space="0"/>
          <w:left w:val="single" w:color="99D0DE" w:themeColor="accent5" w:themeTint="90" w:sz="4" w:space="0"/>
          <w:bottom w:val="none" w:color="000000" w:sz="0" w:space="0"/>
          <w:right w:val="none" w:color="000000" w:sz="0" w:space="0"/>
        </w:tcBorders>
      </w:tcPr>
    </w:tblStylePr>
    <w:tblStylePr w:type="lastRow">
      <w:rPr>
        <w:rFonts w:ascii="Arial" w:hAnsi="Arial"/>
        <w:b/>
        <w:color w:val="266779" w:themeColor="accent5" w:themeShade="95"/>
        <w:sz w:val="22"/>
      </w:rPr>
      <w:tcPr>
        <w:shd w:val="clear" w:color="ffffff" w:themeColor="light1" w:fill="ffffff" w:themeFill="light1"/>
        <w:tcBorders>
          <w:top w:val="single" w:color="99D0DE" w:themeColor="accent5" w:themeTint="90" w:sz="4" w:space="0"/>
          <w:left w:val="none" w:color="000000" w:sz="0" w:space="0"/>
          <w:bottom w:val="none" w:color="000000" w:sz="0" w:space="0"/>
          <w:right w:val="none" w:color="000000" w:sz="0" w:space="0"/>
        </w:tcBorders>
      </w:tcPr>
    </w:tblStylePr>
  </w:style>
  <w:style w:type="table" w:styleId="1656" w:customStyle="1">
    <w:name w:val="Grid Table 7 Colorful - Accent 6"/>
    <w:basedOn w:val="1579"/>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rFonts w:ascii="Arial" w:hAnsi="Arial"/>
        <w:color w:val="b15407" w:themeColor="accent6"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b15407" w:themeColor="accent6" w:themeShade="95"/>
        <w:sz w:val="22"/>
      </w:rPr>
    </w:tblStylePr>
    <w:tblStylePr w:type="firstCol">
      <w:rPr>
        <w:rFonts w:ascii="Arial" w:hAnsi="Arial"/>
        <w:i/>
        <w:color w:val="b15407" w:themeColor="accent6" w:themeShade="95"/>
        <w:sz w:val="22"/>
      </w:rPr>
      <w:pPr>
        <w:jc w:val="right"/>
      </w:pPr>
      <w:tcPr>
        <w:shd w:val="clear" w:color="ffffff" w:fill="auto"/>
        <w:tcBorders>
          <w:top w:val="none" w:color="000000" w:sz="0" w:space="0"/>
          <w:left w:val="none" w:color="000000" w:sz="0" w:space="0"/>
          <w:bottom w:val="none" w:color="000000" w:sz="0" w:space="0"/>
          <w:right w:val="single" w:color="FAC396" w:themeColor="accent6" w:themeTint="90" w:sz="4" w:space="0"/>
        </w:tcBorders>
      </w:tcPr>
    </w:tblStylePr>
    <w:tblStylePr w:type="firstRow">
      <w:rPr>
        <w:rFonts w:ascii="Arial" w:hAnsi="Arial"/>
        <w:b/>
        <w:color w:val="b15407" w:themeColor="accent6" w:themeShade="95"/>
        <w:sz w:val="22"/>
      </w:rPr>
      <w:tcPr>
        <w:shd w:val="clear" w:color="ffffff" w:themeColor="light1" w:fill="ffffff" w:themeFill="light1"/>
        <w:tcBorders>
          <w:top w:val="none" w:color="000000" w:sz="0" w:space="0"/>
          <w:left w:val="none" w:color="000000" w:sz="0" w:space="0"/>
          <w:bottom w:val="single" w:color="FAC396" w:themeColor="accent6" w:themeTint="90" w:sz="4" w:space="0"/>
          <w:right w:val="none" w:color="000000" w:sz="0" w:space="0"/>
        </w:tcBorders>
      </w:tcPr>
    </w:tblStylePr>
    <w:tblStylePr w:type="lastCol">
      <w:rPr>
        <w:rFonts w:ascii="Arial" w:hAnsi="Arial"/>
        <w:i/>
        <w:color w:val="b15407" w:themeColor="accent6" w:themeShade="95"/>
        <w:sz w:val="22"/>
      </w:rPr>
      <w:tcPr>
        <w:shd w:val="clear" w:color="ffffff" w:fill="auto"/>
        <w:tcBorders>
          <w:top w:val="none" w:color="000000" w:sz="0" w:space="0"/>
          <w:left w:val="single" w:color="FAC396" w:themeColor="accent6" w:themeTint="90" w:sz="4" w:space="0"/>
          <w:bottom w:val="none" w:color="000000" w:sz="0" w:space="0"/>
          <w:right w:val="none" w:color="000000" w:sz="0" w:space="0"/>
        </w:tcBorders>
      </w:tcPr>
    </w:tblStylePr>
    <w:tblStylePr w:type="lastRow">
      <w:rPr>
        <w:rFonts w:ascii="Arial" w:hAnsi="Arial"/>
        <w:b/>
        <w:color w:val="b15407" w:themeColor="accent6" w:themeShade="95"/>
        <w:sz w:val="22"/>
      </w:rPr>
      <w:tcPr>
        <w:shd w:val="clear" w:color="ffffff" w:themeColor="light1" w:fill="ffffff" w:themeFill="light1"/>
        <w:tcBorders>
          <w:top w:val="single" w:color="FAC396" w:themeColor="accent6" w:themeTint="90" w:sz="4" w:space="0"/>
          <w:left w:val="none" w:color="000000" w:sz="0" w:space="0"/>
          <w:bottom w:val="none" w:color="000000" w:sz="0" w:space="0"/>
          <w:right w:val="none" w:color="000000" w:sz="0" w:space="0"/>
        </w:tcBorders>
      </w:tcPr>
    </w:tblStylePr>
  </w:style>
  <w:style w:type="table" w:styleId="1657">
    <w:name w:val="List Table 1 Light"/>
    <w:basedOn w:val="1579"/>
    <w:uiPriority w:val="99"/>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658" w:customStyle="1">
    <w:name w:val="List Table 1 Light - Accent 1"/>
    <w:basedOn w:val="1579"/>
    <w:uiPriority w:val="99"/>
    <w:tblPr>
      <w:tblStyleRowBandSize w:val="1"/>
      <w:tblStyleColBandSize w:val="1"/>
    </w:tblPr>
    <w:tblStylePr w:type="band1Horz">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StylePr>
    <w:tblStylePr w:type="lastRow">
      <w:rPr>
        <w:b/>
        <w:color w:val="404040"/>
      </w:rPr>
      <w:tcPr>
        <w:tcBorders>
          <w:top w:val="single" w:color="4F81BD" w:themeColor="accent1" w:sz="4" w:space="0"/>
          <w:left w:val="none" w:color="000000" w:sz="4" w:space="0"/>
          <w:bottom w:val="none" w:color="000000" w:sz="4" w:space="0"/>
          <w:right w:val="none" w:color="000000" w:sz="4" w:space="0"/>
        </w:tcBorders>
      </w:tcPr>
    </w:tblStylePr>
  </w:style>
  <w:style w:type="table" w:styleId="1659" w:customStyle="1">
    <w:name w:val="List Table 1 Light - Accent 2"/>
    <w:basedOn w:val="1579"/>
    <w:uiPriority w:val="99"/>
    <w:tblPr>
      <w:tblStyleRowBandSize w:val="1"/>
      <w:tblStyleColBandSize w:val="1"/>
    </w:tblPr>
    <w:tblStylePr w:type="band1Horz">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StylePr>
    <w:tblStylePr w:type="lastRow">
      <w:rPr>
        <w:b/>
        <w:color w:val="404040"/>
      </w:rPr>
      <w:tcPr>
        <w:tcBorders>
          <w:top w:val="single" w:color="C0504D" w:themeColor="accent2" w:sz="4" w:space="0"/>
          <w:left w:val="none" w:color="000000" w:sz="4" w:space="0"/>
          <w:bottom w:val="none" w:color="000000" w:sz="4" w:space="0"/>
          <w:right w:val="none" w:color="000000" w:sz="4" w:space="0"/>
        </w:tcBorders>
      </w:tcPr>
    </w:tblStylePr>
  </w:style>
  <w:style w:type="table" w:styleId="1660" w:customStyle="1">
    <w:name w:val="List Table 1 Light - Accent 3"/>
    <w:basedOn w:val="1579"/>
    <w:uiPriority w:val="99"/>
    <w:tblPr>
      <w:tblStyleRowBandSize w:val="1"/>
      <w:tblStyleColBandSize w:val="1"/>
    </w:tblPr>
    <w:tblStylePr w:type="band1Horz">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StylePr>
    <w:tblStylePr w:type="lastRow">
      <w:rPr>
        <w:b/>
        <w:color w:val="404040"/>
      </w:rPr>
      <w:tcPr>
        <w:tcBorders>
          <w:top w:val="single" w:color="9BBB59" w:themeColor="accent3" w:sz="4" w:space="0"/>
          <w:left w:val="none" w:color="000000" w:sz="4" w:space="0"/>
          <w:bottom w:val="none" w:color="000000" w:sz="4" w:space="0"/>
          <w:right w:val="none" w:color="000000" w:sz="4" w:space="0"/>
        </w:tcBorders>
      </w:tcPr>
    </w:tblStylePr>
  </w:style>
  <w:style w:type="table" w:styleId="1661" w:customStyle="1">
    <w:name w:val="List Table 1 Light - Accent 4"/>
    <w:basedOn w:val="1579"/>
    <w:uiPriority w:val="99"/>
    <w:tblPr>
      <w:tblStyleRowBandSize w:val="1"/>
      <w:tblStyleColBandSize w:val="1"/>
    </w:tblPr>
    <w:tblStylePr w:type="band1Horz">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StylePr>
    <w:tblStylePr w:type="lastRow">
      <w:rPr>
        <w:b/>
        <w:color w:val="404040"/>
      </w:rPr>
      <w:tcPr>
        <w:tcBorders>
          <w:top w:val="single" w:color="8064A2" w:themeColor="accent4" w:sz="4" w:space="0"/>
          <w:left w:val="none" w:color="000000" w:sz="4" w:space="0"/>
          <w:bottom w:val="none" w:color="000000" w:sz="4" w:space="0"/>
          <w:right w:val="none" w:color="000000" w:sz="4" w:space="0"/>
        </w:tcBorders>
      </w:tcPr>
    </w:tblStylePr>
  </w:style>
  <w:style w:type="table" w:styleId="1662" w:customStyle="1">
    <w:name w:val="List Table 1 Light - Accent 5"/>
    <w:basedOn w:val="1579"/>
    <w:uiPriority w:val="99"/>
    <w:tblPr>
      <w:tblStyleRowBandSize w:val="1"/>
      <w:tblStyleColBandSize w:val="1"/>
    </w:tblPr>
    <w:tblStylePr w:type="band1Horz">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tcPr>
    </w:tblStylePr>
  </w:style>
  <w:style w:type="table" w:styleId="1663" w:customStyle="1">
    <w:name w:val="List Table 1 Light - Accent 6"/>
    <w:basedOn w:val="1579"/>
    <w:uiPriority w:val="99"/>
    <w:tblPr>
      <w:tblStyleRowBandSize w:val="1"/>
      <w:tblStyleColBandSize w:val="1"/>
    </w:tblPr>
    <w:tblStylePr w:type="band1Horz">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tcPr>
    </w:tblStylePr>
  </w:style>
  <w:style w:type="table" w:styleId="1664">
    <w:name w:val="List Table 2"/>
    <w:basedOn w:val="1579"/>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1665" w:customStyle="1">
    <w:name w:val="List Table 2 - Accent 1"/>
    <w:basedOn w:val="1579"/>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style>
  <w:style w:type="table" w:styleId="1666" w:customStyle="1">
    <w:name w:val="List Table 2 - Accent 2"/>
    <w:basedOn w:val="1579"/>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style>
  <w:style w:type="table" w:styleId="1667" w:customStyle="1">
    <w:name w:val="List Table 2 - Accent 3"/>
    <w:basedOn w:val="1579"/>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style>
  <w:style w:type="table" w:styleId="1668" w:customStyle="1">
    <w:name w:val="List Table 2 - Accent 4"/>
    <w:basedOn w:val="1579"/>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style>
  <w:style w:type="table" w:styleId="1669" w:customStyle="1">
    <w:name w:val="List Table 2 - Accent 5"/>
    <w:basedOn w:val="1579"/>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style>
  <w:style w:type="table" w:styleId="1670" w:customStyle="1">
    <w:name w:val="List Table 2 - Accent 6"/>
    <w:basedOn w:val="1579"/>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style>
  <w:style w:type="table" w:styleId="1671">
    <w:name w:val="List Table 3"/>
    <w:basedOn w:val="1579"/>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1672" w:customStyle="1">
    <w:name w:val="List Table 3 - Accent 1"/>
    <w:basedOn w:val="1579"/>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1673" w:customStyle="1">
    <w:name w:val="List Table 3 - Accent 2"/>
    <w:basedOn w:val="1579"/>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band1Horz">
      <w:rPr>
        <w:rFonts w:ascii="Arial" w:hAnsi="Arial"/>
        <w:color w:val="404040"/>
        <w:sz w:val="22"/>
      </w:r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tcPr>
        <w:tcBorders>
          <w:left w:val="single" w:color="D99695" w:themeColor="accent2" w:themeTint="97" w:sz="4" w:space="0"/>
          <w:right w:val="single" w:color="D99695" w:themeColor="accent2" w:themeTint="97" w:sz="4" w:space="0"/>
        </w:tcBorders>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Pr>
    </w:tblStylePr>
    <w:tblStylePr w:type="lastCol">
      <w:rPr>
        <w:b/>
        <w:color w:val="404040"/>
      </w:rPr>
    </w:tblStylePr>
    <w:tblStylePr w:type="lastRow">
      <w:rPr>
        <w:b/>
        <w:color w:val="404040"/>
      </w:rPr>
    </w:tblStylePr>
  </w:style>
  <w:style w:type="table" w:styleId="1674" w:customStyle="1">
    <w:name w:val="List Table 3 - Accent 3"/>
    <w:basedOn w:val="1579"/>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band1Horz">
      <w:rPr>
        <w:rFonts w:ascii="Arial" w:hAnsi="Arial"/>
        <w:color w:val="404040"/>
        <w:sz w:val="22"/>
      </w:r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tcPr>
        <w:tcBorders>
          <w:left w:val="single" w:color="C3D69B" w:themeColor="accent3" w:themeTint="98" w:sz="4" w:space="0"/>
          <w:right w:val="single" w:color="C3D69B" w:themeColor="accent3" w:themeTint="98" w:sz="4" w:space="0"/>
        </w:tcBorders>
      </w:tcPr>
    </w:tblStylePr>
    <w:tblStylePr w:type="firstCol">
      <w:rPr>
        <w:b/>
        <w:color w:val="404040"/>
      </w:rPr>
    </w:tblStylePr>
    <w:tblStylePr w:type="firstRow">
      <w:rPr>
        <w:rFonts w:ascii="Arial" w:hAnsi="Arial"/>
        <w:b/>
        <w:color w:val="ffffff"/>
        <w:sz w:val="22"/>
      </w:rPr>
      <w:tcPr>
        <w:shd w:val="clear" w:color="c3d69b" w:themeColor="accent3" w:themeTint="98" w:fill="c3d69b" w:themeFill="accent3" w:themeFillTint="98"/>
      </w:tcPr>
    </w:tblStylePr>
    <w:tblStylePr w:type="lastCol">
      <w:rPr>
        <w:b/>
        <w:color w:val="404040"/>
      </w:rPr>
    </w:tblStylePr>
    <w:tblStylePr w:type="lastRow">
      <w:rPr>
        <w:b/>
        <w:color w:val="404040"/>
      </w:rPr>
    </w:tblStylePr>
  </w:style>
  <w:style w:type="table" w:styleId="1675" w:customStyle="1">
    <w:name w:val="List Table 3 - Accent 4"/>
    <w:basedOn w:val="1579"/>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Pr>
    </w:tblStylePr>
    <w:tblStylePr w:type="lastCol">
      <w:rPr>
        <w:b/>
        <w:color w:val="404040"/>
      </w:rPr>
    </w:tblStylePr>
    <w:tblStylePr w:type="lastRow">
      <w:rPr>
        <w:b/>
        <w:color w:val="404040"/>
      </w:rPr>
    </w:tblStylePr>
  </w:style>
  <w:style w:type="table" w:styleId="1676" w:customStyle="1">
    <w:name w:val="List Table 3 - Accent 5"/>
    <w:basedOn w:val="1579"/>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firstCol">
      <w:rPr>
        <w:b/>
        <w:color w:val="404040"/>
      </w:rPr>
    </w:tblStylePr>
    <w:tblStylePr w:type="firstRow">
      <w:rPr>
        <w:rFonts w:ascii="Arial" w:hAnsi="Arial"/>
        <w:b/>
        <w:color w:val="ffffff"/>
        <w:sz w:val="22"/>
      </w:rPr>
      <w:tcPr>
        <w:shd w:val="clear" w:color="92ccdc" w:themeColor="accent5" w:themeTint="9A" w:fill="92ccdc" w:themeFill="accent5" w:themeFillTint="9A"/>
      </w:tcPr>
    </w:tblStylePr>
    <w:tblStylePr w:type="lastCol">
      <w:rPr>
        <w:b/>
        <w:color w:val="404040"/>
      </w:rPr>
    </w:tblStylePr>
    <w:tblStylePr w:type="lastRow">
      <w:rPr>
        <w:b/>
        <w:color w:val="404040"/>
      </w:rPr>
    </w:tblStylePr>
  </w:style>
  <w:style w:type="table" w:styleId="1677" w:customStyle="1">
    <w:name w:val="List Table 3 - Accent 6"/>
    <w:basedOn w:val="1579"/>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firstCol">
      <w:rPr>
        <w:b/>
        <w:color w:val="404040"/>
      </w:rPr>
    </w:tblStylePr>
    <w:tblStylePr w:type="firstRow">
      <w:rPr>
        <w:rFonts w:ascii="Arial" w:hAnsi="Arial"/>
        <w:b/>
        <w:color w:val="ffffff"/>
        <w:sz w:val="22"/>
      </w:rPr>
      <w:tcPr>
        <w:shd w:val="clear" w:color="fac090" w:themeColor="accent6" w:themeTint="98" w:fill="fac090" w:themeFill="accent6" w:themeFillTint="98"/>
      </w:tcPr>
    </w:tblStylePr>
    <w:tblStylePr w:type="lastCol">
      <w:rPr>
        <w:b/>
        <w:color w:val="404040"/>
      </w:rPr>
    </w:tblStylePr>
    <w:tblStylePr w:type="lastRow">
      <w:rPr>
        <w:b/>
        <w:color w:val="404040"/>
      </w:rPr>
    </w:tblStylePr>
  </w:style>
  <w:style w:type="table" w:styleId="1678">
    <w:name w:val="List Table 4"/>
    <w:basedOn w:val="1579"/>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1679" w:customStyle="1">
    <w:name w:val="List Table 4 - Accent 1"/>
    <w:basedOn w:val="1579"/>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1680" w:customStyle="1">
    <w:name w:val="List Table 4 - Accent 2"/>
    <w:basedOn w:val="1579"/>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b/>
        <w:color w:val="404040"/>
      </w:rPr>
    </w:tblStylePr>
    <w:tblStylePr w:type="firstRow">
      <w:rPr>
        <w:rFonts w:ascii="Arial" w:hAnsi="Arial"/>
        <w:b/>
        <w:color w:val="ffffff"/>
        <w:sz w:val="22"/>
      </w:rPr>
      <w:tcPr>
        <w:shd w:val="clear" w:color="c0504d" w:themeColor="accent2" w:fill="c0504d" w:themeFill="accent2"/>
      </w:tcPr>
    </w:tblStylePr>
    <w:tblStylePr w:type="lastCol">
      <w:rPr>
        <w:b/>
        <w:color w:val="404040"/>
      </w:rPr>
    </w:tblStylePr>
    <w:tblStylePr w:type="lastRow">
      <w:rPr>
        <w:b/>
        <w:color w:val="404040"/>
      </w:rPr>
    </w:tblStylePr>
  </w:style>
  <w:style w:type="table" w:styleId="1681" w:customStyle="1">
    <w:name w:val="List Table 4 - Accent 3"/>
    <w:basedOn w:val="1579"/>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b/>
        <w:color w:val="404040"/>
      </w:rPr>
    </w:tblStylePr>
    <w:tblStylePr w:type="firstRow">
      <w:rPr>
        <w:rFonts w:ascii="Arial" w:hAnsi="Arial"/>
        <w:b/>
        <w:color w:val="ffffff"/>
        <w:sz w:val="22"/>
      </w:rPr>
      <w:tcPr>
        <w:shd w:val="clear" w:color="9bbb59" w:themeColor="accent3" w:fill="9bbb59" w:themeFill="accent3"/>
      </w:tcPr>
    </w:tblStylePr>
    <w:tblStylePr w:type="lastCol">
      <w:rPr>
        <w:b/>
        <w:color w:val="404040"/>
      </w:rPr>
    </w:tblStylePr>
    <w:tblStylePr w:type="lastRow">
      <w:rPr>
        <w:b/>
        <w:color w:val="404040"/>
      </w:rPr>
    </w:tblStylePr>
  </w:style>
  <w:style w:type="table" w:styleId="1682" w:customStyle="1">
    <w:name w:val="List Table 4 - Accent 4"/>
    <w:basedOn w:val="1579"/>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8064a2" w:themeColor="accent4" w:fill="8064a2" w:themeFill="accent4"/>
      </w:tcPr>
    </w:tblStylePr>
    <w:tblStylePr w:type="lastCol">
      <w:rPr>
        <w:b/>
        <w:color w:val="404040"/>
      </w:rPr>
    </w:tblStylePr>
    <w:tblStylePr w:type="lastRow">
      <w:rPr>
        <w:b/>
        <w:color w:val="404040"/>
      </w:rPr>
    </w:tblStylePr>
  </w:style>
  <w:style w:type="table" w:styleId="1683" w:customStyle="1">
    <w:name w:val="List Table 4 - Accent 5"/>
    <w:basedOn w:val="1579"/>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4bacc6" w:themeColor="accent5" w:fill="4bacc6" w:themeFill="accent5"/>
      </w:tcPr>
    </w:tblStylePr>
    <w:tblStylePr w:type="lastCol">
      <w:rPr>
        <w:b/>
        <w:color w:val="404040"/>
      </w:rPr>
    </w:tblStylePr>
    <w:tblStylePr w:type="lastRow">
      <w:rPr>
        <w:b/>
        <w:color w:val="404040"/>
      </w:rPr>
    </w:tblStylePr>
  </w:style>
  <w:style w:type="table" w:styleId="1684" w:customStyle="1">
    <w:name w:val="List Table 4 - Accent 6"/>
    <w:basedOn w:val="1579"/>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b/>
        <w:color w:val="404040"/>
      </w:rPr>
    </w:tblStylePr>
    <w:tblStylePr w:type="firstRow">
      <w:rPr>
        <w:rFonts w:ascii="Arial" w:hAnsi="Arial"/>
        <w:b/>
        <w:color w:val="ffffff"/>
        <w:sz w:val="22"/>
      </w:rPr>
      <w:tcPr>
        <w:shd w:val="clear" w:color="f79646" w:themeColor="accent6" w:fill="f79646" w:themeFill="accent6"/>
      </w:tcPr>
    </w:tblStylePr>
    <w:tblStylePr w:type="lastCol">
      <w:rPr>
        <w:b/>
        <w:color w:val="404040"/>
      </w:rPr>
    </w:tblStylePr>
    <w:tblStylePr w:type="lastRow">
      <w:rPr>
        <w:b/>
        <w:color w:val="404040"/>
      </w:rPr>
    </w:tblStylePr>
  </w:style>
  <w:style w:type="table" w:styleId="1685">
    <w:name w:val="List Table 5 Dark"/>
    <w:basedOn w:val="1579"/>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1686" w:customStyle="1">
    <w:name w:val="List Table 5 Dark - Accent 1"/>
    <w:basedOn w:val="1579"/>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Pr>
    <w:tblStylePr w:type="band1Horz">
      <w:tcPr>
        <w:shd w:val="clear" w:color="4f81bd" w:themeColor="accent1" w:fill="4f81bd" w:themeFill="accent1"/>
        <w:tcBorders>
          <w:top w:val="single" w:color="FFFFFF" w:themeColor="light1" w:sz="4" w:space="0"/>
          <w:bottom w:val="single" w:color="FFFFFF" w:themeColor="light1" w:sz="4" w:space="0"/>
        </w:tcBorders>
      </w:tcPr>
    </w:tblStylePr>
    <w:tblStylePr w:type="band1Vert">
      <w:tcPr>
        <w:shd w:val="clear" w:color="4f81bd" w:themeColor="accent1" w:fill="4f81bd" w:themeFill="accent1"/>
        <w:tcBorders>
          <w:left w:val="single" w:color="FFFFFF" w:themeColor="light1" w:sz="4" w:space="0"/>
          <w:right w:val="single" w:color="FFFFFF" w:themeColor="light1" w:sz="4" w:space="0"/>
        </w:tcBorders>
      </w:tcPr>
    </w:tblStylePr>
    <w:tblStylePr w:type="band2Horz">
      <w:tcPr>
        <w:shd w:val="clear" w:color="4f81bd" w:themeColor="accent1" w:fill="4f81bd"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tcPr>
        <w:shd w:val="clear" w:color="4f81bd" w:themeColor="accent1" w:fill="4f81bd" w:themeFill="accent1"/>
        <w:tcBorders>
          <w:top w:val="single" w:color="4F81BD" w:themeColor="accent1" w:sz="32" w:space="0"/>
          <w:bottom w:val="single" w:color="FFFFFF" w:themeColor="light1" w:sz="12" w:space="0"/>
        </w:tcBorders>
      </w:tcPr>
    </w:tblStylePr>
    <w:tblStylePr w:type="lastCol">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tblStylePr>
  </w:style>
  <w:style w:type="table" w:styleId="1687" w:customStyle="1">
    <w:name w:val="List Table 5 Dark - Accent 2"/>
    <w:basedOn w:val="1579"/>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Pr>
    <w:tblStylePr w:type="band1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tblStylePr>
  </w:style>
  <w:style w:type="table" w:styleId="1688" w:customStyle="1">
    <w:name w:val="List Table 5 Dark - Accent 3"/>
    <w:basedOn w:val="1579"/>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Pr>
    <w:tblStylePr w:type="band1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tblStylePr>
  </w:style>
  <w:style w:type="table" w:styleId="1689" w:customStyle="1">
    <w:name w:val="List Table 5 Dark - Accent 4"/>
    <w:basedOn w:val="1579"/>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Pr>
    <w:tblStylePr w:type="band1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tblStylePr>
  </w:style>
  <w:style w:type="table" w:styleId="1690" w:customStyle="1">
    <w:name w:val="List Table 5 Dark - Accent 5"/>
    <w:basedOn w:val="1579"/>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Pr>
    <w:tblStylePr w:type="band1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tblStylePr>
  </w:style>
  <w:style w:type="table" w:styleId="1691" w:customStyle="1">
    <w:name w:val="List Table 5 Dark - Accent 6"/>
    <w:basedOn w:val="1579"/>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Pr>
    <w:tblStylePr w:type="band1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tblStylePr>
  </w:style>
  <w:style w:type="table" w:styleId="1692">
    <w:name w:val="List Table 6 Colorful"/>
    <w:basedOn w:val="1579"/>
    <w:uiPriority w:val="99"/>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1693" w:customStyle="1">
    <w:name w:val="List Table 6 Colorful - Accent 1"/>
    <w:basedOn w:val="1579"/>
    <w:uiPriority w:val="99"/>
    <w:tblPr>
      <w:tblStyleRowBandSize w:val="1"/>
      <w:tblStyleColBandSize w:val="1"/>
      <w:tblBorders>
        <w:top w:val="single" w:color="4F81BD" w:themeColor="accent1" w:sz="4" w:space="0"/>
        <w:bottom w:val="single" w:color="4F81BD" w:themeColor="accent1" w:sz="4" w:space="0"/>
      </w:tblBorders>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b/>
        <w:color w:val="2a4a71" w:themeColor="accent1" w:themeShade="95"/>
      </w:rPr>
    </w:tblStylePr>
    <w:tblStylePr w:type="firstRow">
      <w:rPr>
        <w:b/>
        <w:color w:val="2a4a71" w:themeColor="accent1" w:themeShade="95"/>
      </w:rPr>
      <w:tcPr>
        <w:tcBorders>
          <w:bottom w:val="single" w:color="4F81BD" w:themeColor="accent1" w:sz="4" w:space="0"/>
        </w:tcBorders>
      </w:tcPr>
    </w:tblStylePr>
    <w:tblStylePr w:type="lastCol">
      <w:rPr>
        <w:b/>
        <w:color w:val="2a4a71" w:themeColor="accent1" w:themeShade="95"/>
      </w:rPr>
    </w:tblStylePr>
    <w:tblStylePr w:type="lastRow">
      <w:rPr>
        <w:b/>
        <w:color w:val="2a4a71" w:themeColor="accent1" w:themeShade="95"/>
      </w:rPr>
      <w:tcPr>
        <w:tcBorders>
          <w:top w:val="single" w:color="4F81BD" w:themeColor="accent1" w:sz="4" w:space="0"/>
        </w:tcBorders>
      </w:tcPr>
    </w:tblStylePr>
  </w:style>
  <w:style w:type="table" w:styleId="1694" w:customStyle="1">
    <w:name w:val="List Table 6 Colorful - Accent 2"/>
    <w:basedOn w:val="1579"/>
    <w:uiPriority w:val="99"/>
    <w:tblPr>
      <w:tblStyleRowBandSize w:val="1"/>
      <w:tblStyleColBandSize w:val="1"/>
      <w:tblBorders>
        <w:top w:val="single" w:color="D99695" w:themeColor="accent2" w:themeTint="97" w:sz="4" w:space="0"/>
        <w:bottom w:val="single" w:color="D99695" w:themeColor="accent2" w:themeTint="97" w:sz="4" w:space="0"/>
      </w:tblBorders>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4" w:space="0"/>
        </w:tcBorders>
      </w:tcPr>
    </w:tblStylePr>
    <w:tblStylePr w:type="lastCol">
      <w:rPr>
        <w:b/>
        <w:color w:val="d99695" w:themeColor="accent2" w:themeTint="97" w:themeShade="95"/>
      </w:rPr>
    </w:tblStylePr>
    <w:tblStylePr w:type="lastRow">
      <w:rPr>
        <w:b/>
        <w:color w:val="d99695" w:themeColor="accent2" w:themeTint="97" w:themeShade="95"/>
      </w:rPr>
      <w:tcPr>
        <w:tcBorders>
          <w:top w:val="single" w:color="D99695" w:themeColor="accent2" w:themeTint="97" w:sz="4" w:space="0"/>
        </w:tcBorders>
      </w:tcPr>
    </w:tblStylePr>
  </w:style>
  <w:style w:type="table" w:styleId="1695" w:customStyle="1">
    <w:name w:val="List Table 6 Colorful - Accent 3"/>
    <w:basedOn w:val="1579"/>
    <w:uiPriority w:val="99"/>
    <w:tblPr>
      <w:tblStyleRowBandSize w:val="1"/>
      <w:tblStyleColBandSize w:val="1"/>
      <w:tblBorders>
        <w:top w:val="single" w:color="C3D69B" w:themeColor="accent3" w:themeTint="98" w:sz="4" w:space="0"/>
        <w:bottom w:val="single" w:color="C3D69B" w:themeColor="accent3" w:themeTint="98" w:sz="4" w:space="0"/>
      </w:tblBorders>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b/>
        <w:color w:val="c3d69b" w:themeColor="accent3" w:themeTint="98" w:themeShade="95"/>
      </w:rPr>
    </w:tblStylePr>
    <w:tblStylePr w:type="firstRow">
      <w:rPr>
        <w:b/>
        <w:color w:val="c3d69b" w:themeColor="accent3" w:themeTint="98" w:themeShade="95"/>
      </w:rPr>
      <w:tcPr>
        <w:tcBorders>
          <w:bottom w:val="single" w:color="C3D69B" w:themeColor="accent3" w:themeTint="98" w:sz="4" w:space="0"/>
        </w:tcBorders>
      </w:tcPr>
    </w:tblStylePr>
    <w:tblStylePr w:type="lastCol">
      <w:rPr>
        <w:b/>
        <w:color w:val="c3d69b" w:themeColor="accent3" w:themeTint="98" w:themeShade="95"/>
      </w:rPr>
    </w:tblStylePr>
    <w:tblStylePr w:type="lastRow">
      <w:rPr>
        <w:b/>
        <w:color w:val="c3d69b" w:themeColor="accent3" w:themeTint="98" w:themeShade="95"/>
      </w:rPr>
      <w:tcPr>
        <w:tcBorders>
          <w:top w:val="single" w:color="C3D69B" w:themeColor="accent3" w:themeTint="98" w:sz="4" w:space="0"/>
        </w:tcBorders>
      </w:tcPr>
    </w:tblStylePr>
  </w:style>
  <w:style w:type="table" w:styleId="1696" w:customStyle="1">
    <w:name w:val="List Table 6 Colorful - Accent 4"/>
    <w:basedOn w:val="1579"/>
    <w:uiPriority w:val="99"/>
    <w:tblPr>
      <w:tblStyleRowBandSize w:val="1"/>
      <w:tblStyleColBandSize w:val="1"/>
      <w:tblBorders>
        <w:top w:val="single" w:color="B2A1C6" w:themeColor="accent4" w:themeTint="9A" w:sz="4" w:space="0"/>
        <w:bottom w:val="single" w:color="B2A1C6" w:themeColor="accent4" w:themeTint="9A" w:sz="4" w:space="0"/>
      </w:tblBorders>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4" w:space="0"/>
        </w:tcBorders>
      </w:tcPr>
    </w:tblStylePr>
    <w:tblStylePr w:type="lastCol">
      <w:rPr>
        <w:b/>
        <w:color w:val="b2a1c6" w:themeColor="accent4" w:themeTint="9A" w:themeShade="95"/>
      </w:rPr>
    </w:tblStylePr>
    <w:tblStylePr w:type="lastRow">
      <w:rPr>
        <w:b/>
        <w:color w:val="b2a1c6" w:themeColor="accent4" w:themeTint="9A" w:themeShade="95"/>
      </w:rPr>
      <w:tcPr>
        <w:tcBorders>
          <w:top w:val="single" w:color="B2A1C6" w:themeColor="accent4" w:themeTint="9A" w:sz="4" w:space="0"/>
        </w:tcBorders>
      </w:tcPr>
    </w:tblStylePr>
  </w:style>
  <w:style w:type="table" w:styleId="1697" w:customStyle="1">
    <w:name w:val="List Table 6 Colorful - Accent 5"/>
    <w:basedOn w:val="1579"/>
    <w:uiPriority w:val="99"/>
    <w:tblPr>
      <w:tblStyleRowBandSize w:val="1"/>
      <w:tblStyleColBandSize w:val="1"/>
      <w:tblBorders>
        <w:top w:val="single" w:color="92CCDC" w:themeColor="accent5" w:themeTint="9A" w:sz="4" w:space="0"/>
        <w:bottom w:val="single" w:color="92CCDC" w:themeColor="accent5" w:themeTint="9A" w:sz="4" w:space="0"/>
      </w:tblBorders>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b/>
        <w:color w:val="92ccdc" w:themeColor="accent5" w:themeTint="9A" w:themeShade="95"/>
      </w:rPr>
    </w:tblStylePr>
    <w:tblStylePr w:type="firstRow">
      <w:rPr>
        <w:b/>
        <w:color w:val="92ccdc" w:themeColor="accent5" w:themeTint="9A" w:themeShade="95"/>
      </w:rPr>
      <w:tcPr>
        <w:tcBorders>
          <w:bottom w:val="single" w:color="92CCDC" w:themeColor="accent5" w:themeTint="9A" w:sz="4" w:space="0"/>
        </w:tcBorders>
      </w:tcPr>
    </w:tblStylePr>
    <w:tblStylePr w:type="lastCol">
      <w:rPr>
        <w:b/>
        <w:color w:val="92ccdc" w:themeColor="accent5" w:themeTint="9A" w:themeShade="95"/>
      </w:rPr>
    </w:tblStylePr>
    <w:tblStylePr w:type="lastRow">
      <w:rPr>
        <w:b/>
        <w:color w:val="92ccdc" w:themeColor="accent5" w:themeTint="9A" w:themeShade="95"/>
      </w:rPr>
      <w:tcPr>
        <w:tcBorders>
          <w:top w:val="single" w:color="92CCDC" w:themeColor="accent5" w:themeTint="9A" w:sz="4" w:space="0"/>
        </w:tcBorders>
      </w:tcPr>
    </w:tblStylePr>
  </w:style>
  <w:style w:type="table" w:styleId="1698" w:customStyle="1">
    <w:name w:val="List Table 6 Colorful - Accent 6"/>
    <w:basedOn w:val="1579"/>
    <w:uiPriority w:val="99"/>
    <w:tblPr>
      <w:tblStyleRowBandSize w:val="1"/>
      <w:tblStyleColBandSize w:val="1"/>
      <w:tblBorders>
        <w:top w:val="single" w:color="FAC090" w:themeColor="accent6" w:themeTint="98" w:sz="4" w:space="0"/>
        <w:bottom w:val="single" w:color="FAC090" w:themeColor="accent6" w:themeTint="98" w:sz="4" w:space="0"/>
      </w:tblBorders>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b/>
        <w:color w:val="fac090" w:themeColor="accent6" w:themeTint="98" w:themeShade="95"/>
      </w:rPr>
    </w:tblStylePr>
    <w:tblStylePr w:type="firstRow">
      <w:rPr>
        <w:b/>
        <w:color w:val="fac090" w:themeColor="accent6" w:themeTint="98" w:themeShade="95"/>
      </w:rPr>
      <w:tcPr>
        <w:tcBorders>
          <w:bottom w:val="single" w:color="FAC090" w:themeColor="accent6" w:themeTint="98" w:sz="4" w:space="0"/>
        </w:tcBorders>
      </w:tcPr>
    </w:tblStylePr>
    <w:tblStylePr w:type="lastCol">
      <w:rPr>
        <w:b/>
        <w:color w:val="fac090" w:themeColor="accent6" w:themeTint="98" w:themeShade="95"/>
      </w:rPr>
    </w:tblStylePr>
    <w:tblStylePr w:type="lastRow">
      <w:rPr>
        <w:b/>
        <w:color w:val="fac090" w:themeColor="accent6" w:themeTint="98" w:themeShade="95"/>
      </w:rPr>
      <w:tcPr>
        <w:tcBorders>
          <w:top w:val="single" w:color="FAC090" w:themeColor="accent6" w:themeTint="98" w:sz="4" w:space="0"/>
        </w:tcBorders>
      </w:tcPr>
    </w:tblStylePr>
  </w:style>
  <w:style w:type="table" w:styleId="1699">
    <w:name w:val="List Table 7 Colorful"/>
    <w:basedOn w:val="1579"/>
    <w:uiPriority w:val="99"/>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style>
  <w:style w:type="table" w:styleId="1700" w:customStyle="1">
    <w:name w:val="List Table 7 Colorful - Accent 1"/>
    <w:basedOn w:val="1579"/>
    <w:uiPriority w:val="99"/>
    <w:tblPr>
      <w:tblStyleRowBandSize w:val="1"/>
      <w:tblStyleColBandSize w:val="1"/>
      <w:tblBorders>
        <w:right w:val="single" w:color="4F81BD" w:themeColor="accent1" w:sz="4" w:space="0"/>
      </w:tblBorders>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rFonts w:ascii="Arial" w:hAnsi="Arial"/>
        <w:i/>
        <w:color w:val="2a4a71" w:themeColor="accent1" w:themeShade="95"/>
        <w:sz w:val="22"/>
      </w:rPr>
      <w:pPr>
        <w:jc w:val="right"/>
      </w:pPr>
      <w:tcPr>
        <w:shd w:val="clear" w:color="ffffff" w:fill="auto"/>
        <w:tcBorders>
          <w:top w:val="none" w:color="000000" w:sz="0" w:space="0"/>
          <w:left w:val="none" w:color="000000" w:sz="0" w:space="0"/>
          <w:bottom w:val="none" w:color="000000" w:sz="0" w:space="0"/>
          <w:right w:val="single" w:color="4F81BD" w:themeColor="accent1" w:sz="4" w:space="0"/>
        </w:tcBorders>
      </w:tcPr>
    </w:tblStylePr>
    <w:tblStylePr w:type="firstRow">
      <w:rPr>
        <w:rFonts w:ascii="Arial" w:hAnsi="Arial"/>
        <w:i/>
        <w:color w:val="2a4a71" w:themeColor="accent1" w:themeShade="95"/>
        <w:sz w:val="22"/>
      </w:rPr>
      <w:tcPr>
        <w:shd w:val="clear" w:color="ffffff" w:themeColor="light1" w:fill="ffffff" w:themeFill="light1"/>
        <w:tcBorders>
          <w:top w:val="none" w:color="000000" w:sz="0" w:space="0"/>
          <w:left w:val="none" w:color="000000" w:sz="0" w:space="0"/>
          <w:bottom w:val="single" w:color="4F81BD" w:themeColor="accent1" w:sz="4" w:space="0"/>
          <w:right w:val="none" w:color="000000" w:sz="0" w:space="0"/>
        </w:tcBorders>
      </w:tcPr>
    </w:tblStylePr>
    <w:tblStylePr w:type="lastCol">
      <w:rPr>
        <w:rFonts w:ascii="Arial" w:hAnsi="Arial"/>
        <w:i/>
        <w:color w:val="2a4a71" w:themeColor="accent1" w:themeShade="95"/>
        <w:sz w:val="22"/>
      </w:rPr>
      <w:tcPr>
        <w:shd w:val="clear" w:color="ffffff" w:fill="auto"/>
        <w:tcBorders>
          <w:top w:val="none" w:color="000000" w:sz="0" w:space="0"/>
          <w:left w:val="single" w:color="4F81BD" w:themeColor="accent1" w:sz="4" w:space="0"/>
          <w:bottom w:val="none" w:color="000000" w:sz="0" w:space="0"/>
          <w:right w:val="none" w:color="000000" w:sz="0" w:space="0"/>
        </w:tcBorders>
      </w:tcPr>
    </w:tblStylePr>
    <w:tblStylePr w:type="lastRow">
      <w:rPr>
        <w:rFonts w:ascii="Arial" w:hAnsi="Arial"/>
        <w:i/>
        <w:color w:val="2a4a71" w:themeColor="accent1" w:themeShade="95"/>
        <w:sz w:val="22"/>
      </w:rPr>
      <w:tcPr>
        <w:shd w:val="clear" w:color="ffffff" w:themeColor="light1" w:fill="ffffff" w:themeFill="light1"/>
        <w:tcBorders>
          <w:top w:val="single" w:color="4F81BD" w:themeColor="accent1" w:sz="4" w:space="0"/>
          <w:left w:val="none" w:color="000000" w:sz="0" w:space="0"/>
          <w:bottom w:val="none" w:color="000000" w:sz="0" w:space="0"/>
          <w:right w:val="none" w:color="000000" w:sz="0" w:space="0"/>
        </w:tcBorders>
      </w:tcPr>
    </w:tblStylePr>
  </w:style>
  <w:style w:type="table" w:styleId="1701" w:customStyle="1">
    <w:name w:val="List Table 7 Colorful - Accent 2"/>
    <w:basedOn w:val="1579"/>
    <w:uiPriority w:val="99"/>
    <w:tblPr>
      <w:tblStyleRowBandSize w:val="1"/>
      <w:tblStyleColBandSize w:val="1"/>
      <w:tblBorders>
        <w:right w:val="single" w:color="D99695" w:themeColor="accent2" w:themeTint="97" w:sz="4" w:space="0"/>
      </w:tblBorders>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0" w:space="0"/>
          <w:left w:val="none" w:color="000000" w:sz="0" w:space="0"/>
          <w:bottom w:val="none" w:color="000000" w:sz="0" w:space="0"/>
          <w:right w:val="single" w:color="D99695" w:themeColor="accent2" w:themeTint="97" w:sz="4" w:space="0"/>
        </w:tcBorders>
      </w:tcPr>
    </w:tblStylePr>
    <w:tblStylePr w:type="firstRow">
      <w:rPr>
        <w:rFonts w:ascii="Arial" w:hAnsi="Arial"/>
        <w:i/>
        <w:color w:val="d99695" w:themeColor="accent2" w:themeTint="97" w:themeShade="95"/>
        <w:sz w:val="22"/>
      </w:rPr>
      <w:tcPr>
        <w:shd w:val="clear" w:color="ffffff" w:themeColor="light1" w:fill="ffffff" w:themeFill="light1"/>
        <w:tcBorders>
          <w:top w:val="none" w:color="000000" w:sz="0" w:space="0"/>
          <w:left w:val="none" w:color="000000" w:sz="0" w:space="0"/>
          <w:bottom w:val="single" w:color="D99695" w:themeColor="accent2" w:themeTint="97" w:sz="4" w:space="0"/>
          <w:right w:val="none" w:color="000000" w:sz="0" w:space="0"/>
        </w:tcBorders>
      </w:tcPr>
    </w:tblStylePr>
    <w:tblStylePr w:type="lastCol">
      <w:rPr>
        <w:rFonts w:ascii="Arial" w:hAnsi="Arial"/>
        <w:i/>
        <w:color w:val="d99695" w:themeColor="accent2" w:themeTint="97" w:themeShade="95"/>
        <w:sz w:val="22"/>
      </w:rPr>
      <w:tcPr>
        <w:shd w:val="clear" w:color="ffffff" w:fill="auto"/>
        <w:tcBorders>
          <w:top w:val="none" w:color="000000" w:sz="0" w:space="0"/>
          <w:left w:val="single" w:color="D99695" w:themeColor="accent2" w:themeTint="97" w:sz="4" w:space="0"/>
          <w:bottom w:val="none" w:color="000000" w:sz="0" w:space="0"/>
          <w:right w:val="none" w:color="000000" w:sz="0" w:space="0"/>
        </w:tcBorders>
      </w:tcPr>
    </w:tblStylePr>
    <w:tblStylePr w:type="lastRow">
      <w:rPr>
        <w:rFonts w:ascii="Arial" w:hAnsi="Arial"/>
        <w:i/>
        <w:color w:val="d99695" w:themeColor="accent2" w:themeTint="97" w:themeShade="95"/>
        <w:sz w:val="22"/>
      </w:rPr>
      <w:tcPr>
        <w:shd w:val="clear" w:color="ffffff" w:themeColor="light1" w:fill="ffffff" w:themeFill="light1"/>
        <w:tcBorders>
          <w:top w:val="single" w:color="D99695" w:themeColor="accent2" w:themeTint="97" w:sz="4" w:space="0"/>
          <w:left w:val="none" w:color="000000" w:sz="0" w:space="0"/>
          <w:bottom w:val="none" w:color="000000" w:sz="0" w:space="0"/>
          <w:right w:val="none" w:color="000000" w:sz="0" w:space="0"/>
        </w:tcBorders>
      </w:tcPr>
    </w:tblStylePr>
  </w:style>
  <w:style w:type="table" w:styleId="1702" w:customStyle="1">
    <w:name w:val="List Table 7 Colorful - Accent 3"/>
    <w:basedOn w:val="1579"/>
    <w:uiPriority w:val="99"/>
    <w:tblPr>
      <w:tblStyleRowBandSize w:val="1"/>
      <w:tblStyleColBandSize w:val="1"/>
      <w:tblBorders>
        <w:right w:val="single" w:color="C3D69B" w:themeColor="accent3" w:themeTint="98" w:sz="4" w:space="0"/>
      </w:tblBorders>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rFonts w:ascii="Arial" w:hAnsi="Arial"/>
        <w:i/>
        <w:color w:val="c3d69b" w:themeColor="accent3" w:themeTint="98" w:themeShade="95"/>
        <w:sz w:val="22"/>
      </w:rPr>
      <w:pPr>
        <w:jc w:val="right"/>
      </w:pPr>
      <w:tcPr>
        <w:shd w:val="clear" w:color="ffffff" w:fill="auto"/>
        <w:tcBorders>
          <w:top w:val="none" w:color="000000" w:sz="0" w:space="0"/>
          <w:left w:val="none" w:color="000000" w:sz="0" w:space="0"/>
          <w:bottom w:val="none" w:color="000000" w:sz="0" w:space="0"/>
          <w:right w:val="single" w:color="C3D69B" w:themeColor="accent3" w:themeTint="98" w:sz="4" w:space="0"/>
        </w:tcBorders>
      </w:tcPr>
    </w:tblStylePr>
    <w:tblStylePr w:type="firstRow">
      <w:rPr>
        <w:rFonts w:ascii="Arial" w:hAnsi="Arial"/>
        <w:i/>
        <w:color w:val="c3d69b" w:themeColor="accent3" w:themeTint="98" w:themeShade="95"/>
        <w:sz w:val="22"/>
      </w:rPr>
      <w:tcPr>
        <w:shd w:val="clear" w:color="ffffff" w:themeColor="light1" w:fill="ffffff" w:themeFill="light1"/>
        <w:tcBorders>
          <w:top w:val="none" w:color="000000" w:sz="0" w:space="0"/>
          <w:left w:val="none" w:color="000000" w:sz="0" w:space="0"/>
          <w:bottom w:val="single" w:color="C3D69B" w:themeColor="accent3" w:themeTint="98" w:sz="4" w:space="0"/>
          <w:right w:val="none" w:color="000000" w:sz="0" w:space="0"/>
        </w:tcBorders>
      </w:tcPr>
    </w:tblStylePr>
    <w:tblStylePr w:type="lastCol">
      <w:rPr>
        <w:rFonts w:ascii="Arial" w:hAnsi="Arial"/>
        <w:i/>
        <w:color w:val="c3d69b" w:themeColor="accent3" w:themeTint="98" w:themeShade="95"/>
        <w:sz w:val="22"/>
      </w:rPr>
      <w:tcPr>
        <w:shd w:val="clear" w:color="ffffff" w:fill="auto"/>
        <w:tcBorders>
          <w:top w:val="none" w:color="000000" w:sz="0" w:space="0"/>
          <w:left w:val="single" w:color="C3D69B" w:themeColor="accent3" w:themeTint="98" w:sz="4" w:space="0"/>
          <w:bottom w:val="none" w:color="000000" w:sz="0" w:space="0"/>
          <w:right w:val="none" w:color="000000" w:sz="0" w:space="0"/>
        </w:tcBorders>
      </w:tcPr>
    </w:tblStylePr>
    <w:tblStylePr w:type="lastRow">
      <w:rPr>
        <w:rFonts w:ascii="Arial" w:hAnsi="Arial"/>
        <w:i/>
        <w:color w:val="c3d69b" w:themeColor="accent3" w:themeTint="98" w:themeShade="95"/>
        <w:sz w:val="22"/>
      </w:rPr>
      <w:tcPr>
        <w:shd w:val="clear" w:color="ffffff" w:themeColor="light1" w:fill="ffffff" w:themeFill="light1"/>
        <w:tcBorders>
          <w:top w:val="single" w:color="C3D69B" w:themeColor="accent3" w:themeTint="98" w:sz="4" w:space="0"/>
          <w:left w:val="none" w:color="000000" w:sz="0" w:space="0"/>
          <w:bottom w:val="none" w:color="000000" w:sz="0" w:space="0"/>
          <w:right w:val="none" w:color="000000" w:sz="0" w:space="0"/>
        </w:tcBorders>
      </w:tcPr>
    </w:tblStylePr>
  </w:style>
  <w:style w:type="table" w:styleId="1703" w:customStyle="1">
    <w:name w:val="List Table 7 Colorful - Accent 4"/>
    <w:basedOn w:val="1579"/>
    <w:uiPriority w:val="99"/>
    <w:tblPr>
      <w:tblStyleRowBandSize w:val="1"/>
      <w:tblStyleColBandSize w:val="1"/>
      <w:tblBorders>
        <w:right w:val="single" w:color="B2A1C6" w:themeColor="accent4" w:themeTint="9A" w:sz="4" w:space="0"/>
      </w:tblBorders>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0" w:space="0"/>
          <w:left w:val="none" w:color="000000" w:sz="0" w:space="0"/>
          <w:bottom w:val="none" w:color="000000" w:sz="0" w:space="0"/>
          <w:right w:val="single" w:color="B2A1C6" w:themeColor="accent4" w:themeTint="9A" w:sz="4" w:space="0"/>
        </w:tcBorders>
      </w:tcPr>
    </w:tblStylePr>
    <w:tblStylePr w:type="firstRow">
      <w:rPr>
        <w:rFonts w:ascii="Arial" w:hAnsi="Arial"/>
        <w:i/>
        <w:color w:val="b2a1c6" w:themeColor="accent4" w:themeTint="9A" w:themeShade="95"/>
        <w:sz w:val="22"/>
      </w:rPr>
      <w:tcPr>
        <w:shd w:val="clear" w:color="ffffff" w:themeColor="light1" w:fill="ffffff" w:themeFill="light1"/>
        <w:tcBorders>
          <w:top w:val="none" w:color="000000" w:sz="0" w:space="0"/>
          <w:left w:val="none" w:color="000000" w:sz="0" w:space="0"/>
          <w:bottom w:val="single" w:color="B2A1C6" w:themeColor="accent4" w:themeTint="9A" w:sz="4" w:space="0"/>
          <w:right w:val="none" w:color="000000" w:sz="0" w:space="0"/>
        </w:tcBorders>
      </w:tcPr>
    </w:tblStylePr>
    <w:tblStylePr w:type="lastCol">
      <w:rPr>
        <w:rFonts w:ascii="Arial" w:hAnsi="Arial"/>
        <w:i/>
        <w:color w:val="b2a1c6" w:themeColor="accent4" w:themeTint="9A" w:themeShade="95"/>
        <w:sz w:val="22"/>
      </w:rPr>
      <w:tcPr>
        <w:shd w:val="clear" w:color="ffffff" w:fill="auto"/>
        <w:tcBorders>
          <w:top w:val="none" w:color="000000" w:sz="0" w:space="0"/>
          <w:left w:val="single" w:color="B2A1C6" w:themeColor="accent4" w:themeTint="9A" w:sz="4" w:space="0"/>
          <w:bottom w:val="none" w:color="000000" w:sz="0" w:space="0"/>
          <w:right w:val="none" w:color="000000" w:sz="0" w:space="0"/>
        </w:tcBorders>
      </w:tcPr>
    </w:tblStylePr>
    <w:tblStylePr w:type="lastRow">
      <w:rPr>
        <w:rFonts w:ascii="Arial" w:hAnsi="Arial"/>
        <w:i/>
        <w:color w:val="b2a1c6" w:themeColor="accent4" w:themeTint="9A" w:themeShade="95"/>
        <w:sz w:val="22"/>
      </w:rPr>
      <w:tcPr>
        <w:shd w:val="clear" w:color="ffffff" w:themeColor="light1" w:fill="ffffff" w:themeFill="light1"/>
        <w:tcBorders>
          <w:top w:val="single" w:color="B2A1C6" w:themeColor="accent4" w:themeTint="9A" w:sz="4" w:space="0"/>
          <w:left w:val="none" w:color="000000" w:sz="0" w:space="0"/>
          <w:bottom w:val="none" w:color="000000" w:sz="0" w:space="0"/>
          <w:right w:val="none" w:color="000000" w:sz="0" w:space="0"/>
        </w:tcBorders>
      </w:tcPr>
    </w:tblStylePr>
  </w:style>
  <w:style w:type="table" w:styleId="1704" w:customStyle="1">
    <w:name w:val="List Table 7 Colorful - Accent 5"/>
    <w:basedOn w:val="1579"/>
    <w:uiPriority w:val="99"/>
    <w:tblPr>
      <w:tblStyleRowBandSize w:val="1"/>
      <w:tblStyleColBandSize w:val="1"/>
      <w:tblBorders>
        <w:right w:val="single" w:color="92CCDC" w:themeColor="accent5" w:themeTint="9A" w:sz="4" w:space="0"/>
      </w:tblBorders>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rFonts w:ascii="Arial" w:hAnsi="Arial"/>
        <w:i/>
        <w:color w:val="92ccdc" w:themeColor="accent5" w:themeTint="9A" w:themeShade="95"/>
        <w:sz w:val="22"/>
      </w:rPr>
      <w:pPr>
        <w:jc w:val="right"/>
      </w:pPr>
      <w:tcPr>
        <w:shd w:val="clear" w:color="ffffff" w:fill="auto"/>
        <w:tcBorders>
          <w:top w:val="none" w:color="000000" w:sz="0" w:space="0"/>
          <w:left w:val="none" w:color="000000" w:sz="0" w:space="0"/>
          <w:bottom w:val="none" w:color="000000" w:sz="0" w:space="0"/>
          <w:right w:val="single" w:color="92CCDC" w:themeColor="accent5" w:themeTint="9A" w:sz="4" w:space="0"/>
        </w:tcBorders>
      </w:tcPr>
    </w:tblStylePr>
    <w:tblStylePr w:type="firstRow">
      <w:rPr>
        <w:rFonts w:ascii="Arial" w:hAnsi="Arial"/>
        <w:i/>
        <w:color w:val="92ccdc" w:themeColor="accent5" w:themeTint="9A" w:themeShade="95"/>
        <w:sz w:val="22"/>
      </w:rPr>
      <w:tcPr>
        <w:shd w:val="clear" w:color="ffffff" w:themeColor="light1" w:fill="ffffff" w:themeFill="light1"/>
        <w:tcBorders>
          <w:top w:val="none" w:color="000000" w:sz="0" w:space="0"/>
          <w:left w:val="none" w:color="000000" w:sz="0" w:space="0"/>
          <w:bottom w:val="single" w:color="92CCDC" w:themeColor="accent5" w:themeTint="9A" w:sz="4" w:space="0"/>
          <w:right w:val="none" w:color="000000" w:sz="0" w:space="0"/>
        </w:tcBorders>
      </w:tcPr>
    </w:tblStylePr>
    <w:tblStylePr w:type="lastCol">
      <w:rPr>
        <w:rFonts w:ascii="Arial" w:hAnsi="Arial"/>
        <w:i/>
        <w:color w:val="92ccdc" w:themeColor="accent5" w:themeTint="9A" w:themeShade="95"/>
        <w:sz w:val="22"/>
      </w:rPr>
      <w:tcPr>
        <w:shd w:val="clear" w:color="ffffff" w:fill="auto"/>
        <w:tcBorders>
          <w:top w:val="none" w:color="000000" w:sz="0" w:space="0"/>
          <w:left w:val="single" w:color="92CCDC" w:themeColor="accent5" w:themeTint="9A" w:sz="4" w:space="0"/>
          <w:bottom w:val="none" w:color="000000" w:sz="0" w:space="0"/>
          <w:right w:val="none" w:color="000000" w:sz="0" w:space="0"/>
        </w:tcBorders>
      </w:tcPr>
    </w:tblStylePr>
    <w:tblStylePr w:type="lastRow">
      <w:rPr>
        <w:rFonts w:ascii="Arial" w:hAnsi="Arial"/>
        <w:i/>
        <w:color w:val="92ccdc" w:themeColor="accent5" w:themeTint="9A" w:themeShade="95"/>
        <w:sz w:val="22"/>
      </w:rPr>
      <w:tcPr>
        <w:shd w:val="clear" w:color="ffffff" w:themeColor="light1" w:fill="ffffff" w:themeFill="light1"/>
        <w:tcBorders>
          <w:top w:val="single" w:color="92CCDC" w:themeColor="accent5" w:themeTint="9A" w:sz="4" w:space="0"/>
          <w:left w:val="none" w:color="000000" w:sz="0" w:space="0"/>
          <w:bottom w:val="none" w:color="000000" w:sz="0" w:space="0"/>
          <w:right w:val="none" w:color="000000" w:sz="0" w:space="0"/>
        </w:tcBorders>
      </w:tcPr>
    </w:tblStylePr>
  </w:style>
  <w:style w:type="table" w:styleId="1705" w:customStyle="1">
    <w:name w:val="List Table 7 Colorful - Accent 6"/>
    <w:basedOn w:val="1579"/>
    <w:uiPriority w:val="99"/>
    <w:tblPr>
      <w:tblStyleRowBandSize w:val="1"/>
      <w:tblStyleColBandSize w:val="1"/>
      <w:tblBorders>
        <w:right w:val="single" w:color="FAC090" w:themeColor="accent6" w:themeTint="98" w:sz="4" w:space="0"/>
      </w:tblBorders>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rFonts w:ascii="Arial" w:hAnsi="Arial"/>
        <w:i/>
        <w:color w:val="fac090" w:themeColor="accent6" w:themeTint="98" w:themeShade="95"/>
        <w:sz w:val="22"/>
      </w:rPr>
      <w:pPr>
        <w:jc w:val="right"/>
      </w:pPr>
      <w:tcPr>
        <w:shd w:val="clear" w:color="ffffff" w:fill="auto"/>
        <w:tcBorders>
          <w:top w:val="none" w:color="000000" w:sz="0" w:space="0"/>
          <w:left w:val="none" w:color="000000" w:sz="0" w:space="0"/>
          <w:bottom w:val="none" w:color="000000" w:sz="0" w:space="0"/>
          <w:right w:val="single" w:color="FAC090" w:themeColor="accent6" w:themeTint="98" w:sz="4" w:space="0"/>
        </w:tcBorders>
      </w:tcPr>
    </w:tblStylePr>
    <w:tblStylePr w:type="firstRow">
      <w:rPr>
        <w:rFonts w:ascii="Arial" w:hAnsi="Arial"/>
        <w:i/>
        <w:color w:val="fac090" w:themeColor="accent6" w:themeTint="98" w:themeShade="95"/>
        <w:sz w:val="22"/>
      </w:rPr>
      <w:tcPr>
        <w:shd w:val="clear" w:color="ffffff" w:themeColor="light1" w:fill="ffffff" w:themeFill="light1"/>
        <w:tcBorders>
          <w:top w:val="none" w:color="000000" w:sz="0" w:space="0"/>
          <w:left w:val="none" w:color="000000" w:sz="0" w:space="0"/>
          <w:bottom w:val="single" w:color="FAC090" w:themeColor="accent6" w:themeTint="98" w:sz="4" w:space="0"/>
          <w:right w:val="none" w:color="000000" w:sz="0" w:space="0"/>
        </w:tcBorders>
      </w:tcPr>
    </w:tblStylePr>
    <w:tblStylePr w:type="lastCol">
      <w:rPr>
        <w:rFonts w:ascii="Arial" w:hAnsi="Arial"/>
        <w:i/>
        <w:color w:val="fac090" w:themeColor="accent6" w:themeTint="98" w:themeShade="95"/>
        <w:sz w:val="22"/>
      </w:rPr>
      <w:tcPr>
        <w:shd w:val="clear" w:color="ffffff" w:fill="auto"/>
        <w:tcBorders>
          <w:top w:val="none" w:color="000000" w:sz="0" w:space="0"/>
          <w:left w:val="single" w:color="FAC090" w:themeColor="accent6" w:themeTint="98" w:sz="4" w:space="0"/>
          <w:bottom w:val="none" w:color="000000" w:sz="0" w:space="0"/>
          <w:right w:val="none" w:color="000000" w:sz="0" w:space="0"/>
        </w:tcBorders>
      </w:tcPr>
    </w:tblStylePr>
    <w:tblStylePr w:type="lastRow">
      <w:rPr>
        <w:rFonts w:ascii="Arial" w:hAnsi="Arial"/>
        <w:i/>
        <w:color w:val="fac090" w:themeColor="accent6" w:themeTint="98" w:themeShade="95"/>
        <w:sz w:val="22"/>
      </w:rPr>
      <w:tcPr>
        <w:shd w:val="clear" w:color="ffffff" w:themeColor="light1" w:fill="ffffff" w:themeFill="light1"/>
        <w:tcBorders>
          <w:top w:val="single" w:color="FAC090" w:themeColor="accent6" w:themeTint="98" w:sz="4" w:space="0"/>
          <w:left w:val="none" w:color="000000" w:sz="0" w:space="0"/>
          <w:bottom w:val="none" w:color="000000" w:sz="0" w:space="0"/>
          <w:right w:val="none" w:color="000000" w:sz="0" w:space="0"/>
        </w:tcBorders>
      </w:tcPr>
    </w:tblStylePr>
  </w:style>
  <w:style w:type="table" w:styleId="1706" w:customStyle="1">
    <w:name w:val="Lined - Accent"/>
    <w:basedOn w:val="1579"/>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707" w:customStyle="1">
    <w:name w:val="Lined - Accent 1"/>
    <w:basedOn w:val="1579"/>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1708" w:customStyle="1">
    <w:name w:val="Lined - Accent 2"/>
    <w:basedOn w:val="1579"/>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1709" w:customStyle="1">
    <w:name w:val="Lined - Accent 3"/>
    <w:basedOn w:val="1579"/>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1710" w:customStyle="1">
    <w:name w:val="Lined - Accent 4"/>
    <w:basedOn w:val="1579"/>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1711" w:customStyle="1">
    <w:name w:val="Lined - Accent 5"/>
    <w:basedOn w:val="1579"/>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1712" w:customStyle="1">
    <w:name w:val="Lined - Accent 6"/>
    <w:basedOn w:val="1579"/>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1713" w:customStyle="1">
    <w:name w:val="Bordered &amp; Lined - Accent"/>
    <w:basedOn w:val="1579"/>
    <w:uiPriority w:val="99"/>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714" w:customStyle="1">
    <w:name w:val="Bordered &amp; Lined - Accent 1"/>
    <w:basedOn w:val="1579"/>
    <w:uiPriority w:val="99"/>
    <w:rPr>
      <w:color w:val="404040"/>
    </w:rPr>
    <w:tblPr>
      <w:tblStyleRowBandSize w:val="1"/>
      <w:tblStyleColBandSize w:val="1"/>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1715" w:customStyle="1">
    <w:name w:val="Bordered &amp; Lined - Accent 2"/>
    <w:basedOn w:val="1579"/>
    <w:uiPriority w:val="99"/>
    <w:rPr>
      <w:color w:val="404040"/>
    </w:rPr>
    <w:tblPr>
      <w:tblStyleRowBandSize w:val="1"/>
      <w:tblStyleColBandSize w:val="1"/>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1716" w:customStyle="1">
    <w:name w:val="Bordered &amp; Lined - Accent 3"/>
    <w:basedOn w:val="1579"/>
    <w:uiPriority w:val="99"/>
    <w:rPr>
      <w:color w:val="404040"/>
    </w:rPr>
    <w:tblPr>
      <w:tblStyleRowBandSize w:val="1"/>
      <w:tblStyleColBandSize w:val="1"/>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1717" w:customStyle="1">
    <w:name w:val="Bordered &amp; Lined - Accent 4"/>
    <w:basedOn w:val="1579"/>
    <w:uiPriority w:val="99"/>
    <w:rPr>
      <w:color w:val="404040"/>
    </w:rPr>
    <w:tblPr>
      <w:tblStyleRowBandSize w:val="1"/>
      <w:tblStyleColBandSize w:val="1"/>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1718" w:customStyle="1">
    <w:name w:val="Bordered &amp; Lined - Accent 5"/>
    <w:basedOn w:val="1579"/>
    <w:uiPriority w:val="99"/>
    <w:rPr>
      <w:color w:val="404040"/>
    </w:rPr>
    <w:tblPr>
      <w:tblStyleRowBandSize w:val="1"/>
      <w:tblStyleColBandSize w:val="1"/>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1719" w:customStyle="1">
    <w:name w:val="Bordered &amp; Lined - Accent 6"/>
    <w:basedOn w:val="1579"/>
    <w:uiPriority w:val="99"/>
    <w:rPr>
      <w:color w:val="404040"/>
    </w:rPr>
    <w:tblPr>
      <w:tblStyleRowBandSize w:val="1"/>
      <w:tblStyleColBandSize w:val="1"/>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1720" w:customStyle="1">
    <w:name w:val="Bordered"/>
    <w:basedOn w:val="1579"/>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1721" w:customStyle="1">
    <w:name w:val="Bordered - Accent 1"/>
    <w:basedOn w:val="1579"/>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4F81BD" w:themeColor="accent1" w:sz="12" w:space="0"/>
        </w:tcBorders>
      </w:tcPr>
    </w:tblStylePr>
    <w:tblStylePr w:type="lastCol">
      <w:rPr>
        <w:rFonts w:ascii="Arial" w:hAnsi="Arial"/>
        <w:color w:val="404040"/>
        <w:sz w:val="22"/>
      </w:rPr>
      <w:tcPr>
        <w:tcBorders>
          <w:left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style>
  <w:style w:type="table" w:styleId="1722" w:customStyle="1">
    <w:name w:val="Bordered - Accent 2"/>
    <w:basedOn w:val="1579"/>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D99695" w:themeColor="accent2" w:themeTint="97" w:sz="12" w:space="0"/>
        </w:tcBorders>
      </w:tcPr>
    </w:tblStylePr>
    <w:tblStylePr w:type="lastCol">
      <w:rPr>
        <w:rFonts w:ascii="Arial" w:hAnsi="Arial"/>
        <w:color w:val="404040"/>
        <w:sz w:val="22"/>
      </w:rPr>
      <w:tcPr>
        <w:tcBorders>
          <w:left w:val="single" w:color="D99695" w:themeColor="accent2" w:themeTint="97" w:sz="12" w:space="0"/>
        </w:tcBorders>
      </w:tcPr>
    </w:tblStylePr>
    <w:tblStylePr w:type="lastRow">
      <w:rPr>
        <w:rFonts w:ascii="Arial" w:hAnsi="Arial"/>
        <w:color w:val="404040"/>
        <w:sz w:val="22"/>
      </w:rPr>
      <w:tcPr>
        <w:tcBorders>
          <w:top w:val="single" w:color="D99695" w:themeColor="accent2" w:themeTint="97" w:sz="12" w:space="0"/>
        </w:tcBorders>
      </w:tcPr>
    </w:tblStylePr>
  </w:style>
  <w:style w:type="table" w:styleId="1723" w:customStyle="1">
    <w:name w:val="Bordered - Accent 3"/>
    <w:basedOn w:val="1579"/>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3D69B" w:themeColor="accent3" w:themeTint="98" w:sz="12" w:space="0"/>
        </w:tcBorders>
      </w:tcPr>
    </w:tblStylePr>
    <w:tblStylePr w:type="lastCol">
      <w:rPr>
        <w:rFonts w:ascii="Arial" w:hAnsi="Arial"/>
        <w:color w:val="404040"/>
        <w:sz w:val="22"/>
      </w:rPr>
      <w:tcPr>
        <w:tcBorders>
          <w:left w:val="single" w:color="C3D69B" w:themeColor="accent3" w:themeTint="98" w:sz="12" w:space="0"/>
        </w:tcBorders>
      </w:tcPr>
    </w:tblStylePr>
    <w:tblStylePr w:type="lastRow">
      <w:rPr>
        <w:rFonts w:ascii="Arial" w:hAnsi="Arial"/>
        <w:color w:val="404040"/>
        <w:sz w:val="22"/>
      </w:rPr>
      <w:tcPr>
        <w:tcBorders>
          <w:top w:val="single" w:color="C3D69B" w:themeColor="accent3" w:themeTint="98" w:sz="12" w:space="0"/>
        </w:tcBorders>
      </w:tcPr>
    </w:tblStylePr>
  </w:style>
  <w:style w:type="table" w:styleId="1724" w:customStyle="1">
    <w:name w:val="Bordered - Accent 4"/>
    <w:basedOn w:val="1579"/>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B2A1C6" w:themeColor="accent4" w:themeTint="9A" w:sz="12" w:space="0"/>
        </w:tcBorders>
      </w:tcPr>
    </w:tblStylePr>
    <w:tblStylePr w:type="lastCol">
      <w:rPr>
        <w:rFonts w:ascii="Arial" w:hAnsi="Arial"/>
        <w:color w:val="404040"/>
        <w:sz w:val="22"/>
      </w:rPr>
      <w:tcPr>
        <w:tcBorders>
          <w:left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style>
  <w:style w:type="table" w:styleId="1725" w:customStyle="1">
    <w:name w:val="Bordered - Accent 5"/>
    <w:basedOn w:val="1579"/>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92CCDC" w:themeColor="accent5" w:themeTint="9A" w:sz="12" w:space="0"/>
        </w:tcBorders>
      </w:tcPr>
    </w:tblStylePr>
    <w:tblStylePr w:type="lastCol">
      <w:rPr>
        <w:rFonts w:ascii="Arial" w:hAnsi="Arial"/>
        <w:color w:val="404040"/>
        <w:sz w:val="22"/>
      </w:rPr>
      <w:tcPr>
        <w:tcBorders>
          <w:left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style>
  <w:style w:type="table" w:styleId="1726" w:customStyle="1">
    <w:name w:val="Bordered - Accent 6"/>
    <w:basedOn w:val="1579"/>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AC090" w:themeColor="accent6" w:themeTint="98" w:sz="12" w:space="0"/>
        </w:tcBorders>
      </w:tcPr>
    </w:tblStylePr>
    <w:tblStylePr w:type="lastCol">
      <w:rPr>
        <w:rFonts w:ascii="Arial" w:hAnsi="Arial"/>
        <w:color w:val="404040"/>
        <w:sz w:val="22"/>
      </w:rPr>
      <w:tcPr>
        <w:tcBorders>
          <w:left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style>
  <w:style w:type="character" w:styleId="1727" w:customStyle="1">
    <w:name w:val="Footnote Text Char"/>
    <w:uiPriority w:val="99"/>
    <w:rPr>
      <w:sz w:val="18"/>
    </w:rPr>
  </w:style>
  <w:style w:type="paragraph" w:styleId="1728">
    <w:name w:val="endnote text"/>
    <w:basedOn w:val="1568"/>
    <w:link w:val="1729"/>
    <w:uiPriority w:val="99"/>
    <w:semiHidden/>
    <w:unhideWhenUsed/>
    <w:rPr>
      <w:sz w:val="20"/>
    </w:rPr>
  </w:style>
  <w:style w:type="character" w:styleId="1729" w:customStyle="1">
    <w:name w:val="Текст концевой сноски Знак"/>
    <w:link w:val="1728"/>
    <w:uiPriority w:val="99"/>
    <w:rPr>
      <w:sz w:val="20"/>
    </w:rPr>
  </w:style>
  <w:style w:type="paragraph" w:styleId="1730">
    <w:name w:val="toc 1"/>
    <w:basedOn w:val="1568"/>
    <w:next w:val="1568"/>
    <w:uiPriority w:val="39"/>
    <w:unhideWhenUsed/>
    <w:pPr>
      <w:spacing w:after="57"/>
    </w:pPr>
  </w:style>
  <w:style w:type="paragraph" w:styleId="1731">
    <w:name w:val="toc 3"/>
    <w:basedOn w:val="1568"/>
    <w:next w:val="1568"/>
    <w:uiPriority w:val="39"/>
    <w:unhideWhenUsed/>
    <w:pPr>
      <w:ind w:left="567"/>
      <w:spacing w:after="57"/>
    </w:pPr>
  </w:style>
  <w:style w:type="paragraph" w:styleId="1732">
    <w:name w:val="toc 4"/>
    <w:basedOn w:val="1568"/>
    <w:next w:val="1568"/>
    <w:uiPriority w:val="39"/>
    <w:unhideWhenUsed/>
    <w:pPr>
      <w:ind w:left="850"/>
      <w:spacing w:after="57"/>
    </w:pPr>
  </w:style>
  <w:style w:type="paragraph" w:styleId="1733">
    <w:name w:val="toc 5"/>
    <w:basedOn w:val="1568"/>
    <w:next w:val="1568"/>
    <w:uiPriority w:val="39"/>
    <w:unhideWhenUsed/>
    <w:pPr>
      <w:ind w:left="1134"/>
      <w:spacing w:after="57"/>
    </w:pPr>
  </w:style>
  <w:style w:type="paragraph" w:styleId="1734">
    <w:name w:val="toc 6"/>
    <w:basedOn w:val="1568"/>
    <w:next w:val="1568"/>
    <w:uiPriority w:val="39"/>
    <w:unhideWhenUsed/>
    <w:pPr>
      <w:ind w:left="1417"/>
      <w:spacing w:after="57"/>
    </w:pPr>
  </w:style>
  <w:style w:type="paragraph" w:styleId="1735">
    <w:name w:val="toc 7"/>
    <w:basedOn w:val="1568"/>
    <w:next w:val="1568"/>
    <w:uiPriority w:val="39"/>
    <w:unhideWhenUsed/>
    <w:pPr>
      <w:ind w:left="1701"/>
      <w:spacing w:after="57"/>
    </w:pPr>
  </w:style>
  <w:style w:type="paragraph" w:styleId="1736">
    <w:name w:val="toc 8"/>
    <w:basedOn w:val="1568"/>
    <w:next w:val="1568"/>
    <w:uiPriority w:val="39"/>
    <w:unhideWhenUsed/>
    <w:pPr>
      <w:ind w:left="1984"/>
      <w:spacing w:after="57"/>
    </w:pPr>
  </w:style>
  <w:style w:type="paragraph" w:styleId="1737">
    <w:name w:val="toc 9"/>
    <w:basedOn w:val="1568"/>
    <w:next w:val="1568"/>
    <w:uiPriority w:val="39"/>
    <w:unhideWhenUsed/>
    <w:pPr>
      <w:ind w:left="2268"/>
      <w:spacing w:after="57"/>
    </w:pPr>
  </w:style>
  <w:style w:type="paragraph" w:styleId="1738">
    <w:name w:val="TOC Heading"/>
    <w:uiPriority w:val="39"/>
    <w:unhideWhenUsed/>
  </w:style>
  <w:style w:type="paragraph" w:styleId="1739">
    <w:name w:val="table of figures"/>
    <w:basedOn w:val="1568"/>
    <w:next w:val="1568"/>
    <w:uiPriority w:val="99"/>
    <w:unhideWhenUsed/>
  </w:style>
  <w:style w:type="paragraph" w:styleId="1740">
    <w:name w:val="Balloon Text"/>
    <w:basedOn w:val="1568"/>
    <w:semiHidden/>
    <w:rPr>
      <w:rFonts w:ascii="Tahoma" w:hAnsi="Tahoma" w:cs="Tahoma"/>
      <w:sz w:val="16"/>
      <w:szCs w:val="16"/>
    </w:rPr>
  </w:style>
  <w:style w:type="paragraph" w:styleId="1741">
    <w:name w:val="Body Text"/>
    <w:basedOn w:val="1568"/>
    <w:pPr>
      <w:jc w:val="both"/>
    </w:pPr>
    <w:rPr>
      <w:sz w:val="28"/>
      <w:szCs w:val="28"/>
    </w:rPr>
  </w:style>
  <w:style w:type="paragraph" w:styleId="1742">
    <w:name w:val="Body Text Indent 3"/>
    <w:basedOn w:val="1568"/>
    <w:pPr>
      <w:ind w:right="-716" w:firstLine="567"/>
      <w:jc w:val="center"/>
    </w:pPr>
    <w:rPr>
      <w:b/>
      <w:bCs/>
    </w:rPr>
  </w:style>
  <w:style w:type="paragraph" w:styleId="1743">
    <w:name w:val="Body Text Indent 2"/>
    <w:basedOn w:val="1568"/>
    <w:pPr>
      <w:ind w:left="720"/>
      <w:jc w:val="both"/>
      <w:spacing w:line="202" w:lineRule="auto"/>
    </w:pPr>
    <w:rPr>
      <w:sz w:val="28"/>
      <w:szCs w:val="28"/>
    </w:rPr>
  </w:style>
  <w:style w:type="paragraph" w:styleId="1744">
    <w:name w:val="List 2"/>
    <w:basedOn w:val="1568"/>
    <w:pPr>
      <w:ind w:left="1260"/>
      <w:jc w:val="both"/>
      <w:spacing w:line="360" w:lineRule="auto"/>
      <w:tabs>
        <w:tab w:val="num" w:pos="1980" w:leader="none"/>
      </w:tabs>
    </w:pPr>
    <w:rPr>
      <w:sz w:val="28"/>
      <w:szCs w:val="28"/>
    </w:rPr>
  </w:style>
  <w:style w:type="paragraph" w:styleId="1745" w:customStyle="1">
    <w:name w:val="Обычный1"/>
    <w:pPr>
      <w:ind w:firstLine="567"/>
      <w:jc w:val="both"/>
      <w:spacing w:before="120" w:after="120"/>
      <w:widowControl w:val="off"/>
    </w:pPr>
  </w:style>
  <w:style w:type="paragraph" w:styleId="1746" w:customStyle="1">
    <w:name w:val="xl48"/>
    <w:basedOn w:val="1568"/>
    <w:pPr>
      <w:jc w:val="center"/>
      <w:spacing w:before="100" w:beforeAutospacing="1" w:after="100" w:afterAutospacing="1"/>
    </w:pPr>
    <w:rPr>
      <w:rFonts w:ascii="Arial CYR" w:hAnsi="Arial CYR" w:cs="Arial CYR"/>
      <w:b/>
      <w:bCs/>
    </w:rPr>
  </w:style>
  <w:style w:type="paragraph" w:styleId="1747" w:customStyle="1">
    <w:name w:val="Подподпункт"/>
    <w:basedOn w:val="1568"/>
    <w:pPr>
      <w:ind w:left="1008" w:hanging="1008"/>
      <w:jc w:val="both"/>
      <w:spacing w:line="360" w:lineRule="auto"/>
      <w:tabs>
        <w:tab w:val="num" w:pos="1008" w:leader="none"/>
      </w:tabs>
    </w:pPr>
    <w:rPr>
      <w:sz w:val="28"/>
      <w:szCs w:val="28"/>
    </w:rPr>
  </w:style>
  <w:style w:type="paragraph" w:styleId="1748" w:customStyle="1">
    <w:name w:val="Ариал"/>
    <w:basedOn w:val="1568"/>
    <w:pPr>
      <w:ind w:firstLine="851"/>
      <w:jc w:val="both"/>
      <w:spacing w:before="120" w:after="120" w:line="360" w:lineRule="auto"/>
    </w:pPr>
    <w:rPr>
      <w:rFonts w:ascii="Arial" w:hAnsi="Arial" w:cs="Arial"/>
    </w:rPr>
  </w:style>
  <w:style w:type="paragraph" w:styleId="1749">
    <w:name w:val="Footer"/>
    <w:basedOn w:val="1568"/>
    <w:link w:val="1783"/>
    <w:uiPriority w:val="99"/>
    <w:pPr>
      <w:tabs>
        <w:tab w:val="center" w:pos="4677" w:leader="none"/>
        <w:tab w:val="right" w:pos="9355" w:leader="none"/>
      </w:tabs>
    </w:pPr>
  </w:style>
  <w:style w:type="character" w:styleId="1750">
    <w:name w:val="page number"/>
    <w:rPr>
      <w:rFonts w:cs="Times New Roman"/>
    </w:rPr>
  </w:style>
  <w:style w:type="paragraph" w:styleId="1751" w:customStyle="1">
    <w:name w:val="1_раздел"/>
    <w:basedOn w:val="1568"/>
    <w:pPr>
      <w:numPr>
        <w:ilvl w:val="0"/>
        <w:numId w:val="1"/>
      </w:numPr>
      <w:keepNext/>
      <w:spacing w:before="480" w:after="360"/>
      <w:outlineLvl w:val="0"/>
    </w:pPr>
    <w:rPr>
      <w:rFonts w:ascii="Verdana" w:hAnsi="Verdana"/>
      <w:b/>
      <w:sz w:val="36"/>
      <w:szCs w:val="20"/>
    </w:rPr>
  </w:style>
  <w:style w:type="paragraph" w:styleId="1752" w:customStyle="1">
    <w:name w:val="2_Статья"/>
    <w:basedOn w:val="1568"/>
    <w:pPr>
      <w:numPr>
        <w:ilvl w:val="1"/>
        <w:numId w:val="1"/>
      </w:numPr>
      <w:keepNext/>
      <w:spacing w:before="240" w:after="120"/>
      <w:outlineLvl w:val="1"/>
    </w:pPr>
    <w:rPr>
      <w:rFonts w:ascii="Verdana" w:hAnsi="Verdana"/>
      <w:b/>
      <w:sz w:val="28"/>
      <w:szCs w:val="20"/>
    </w:rPr>
  </w:style>
  <w:style w:type="paragraph" w:styleId="1753" w:customStyle="1">
    <w:name w:val="3_Пункт"/>
    <w:basedOn w:val="1568"/>
    <w:pPr>
      <w:numPr>
        <w:ilvl w:val="2"/>
        <w:numId w:val="1"/>
      </w:numPr>
      <w:keepNext/>
      <w:spacing w:before="240" w:after="120"/>
    </w:pPr>
    <w:rPr>
      <w:rFonts w:ascii="Verdana" w:hAnsi="Verdana"/>
      <w:b/>
      <w:szCs w:val="20"/>
    </w:rPr>
  </w:style>
  <w:style w:type="paragraph" w:styleId="1754" w:customStyle="1">
    <w:name w:val="4_Подпункт"/>
    <w:basedOn w:val="1568"/>
    <w:pPr>
      <w:numPr>
        <w:ilvl w:val="3"/>
        <w:numId w:val="1"/>
      </w:numPr>
      <w:jc w:val="both"/>
      <w:spacing w:after="120"/>
    </w:pPr>
    <w:rPr>
      <w:rFonts w:ascii="Verdana" w:hAnsi="Verdana"/>
      <w:sz w:val="20"/>
      <w:szCs w:val="20"/>
    </w:rPr>
  </w:style>
  <w:style w:type="paragraph" w:styleId="1755" w:customStyle="1">
    <w:name w:val="5_часть"/>
    <w:basedOn w:val="1568"/>
    <w:pPr>
      <w:numPr>
        <w:ilvl w:val="4"/>
        <w:numId w:val="1"/>
      </w:numPr>
      <w:spacing w:after="120"/>
    </w:pPr>
    <w:rPr>
      <w:rFonts w:ascii="Verdana" w:hAnsi="Verdana"/>
      <w:sz w:val="20"/>
      <w:szCs w:val="20"/>
    </w:rPr>
  </w:style>
  <w:style w:type="paragraph" w:styleId="1756" w:customStyle="1">
    <w:name w:val="6_часть"/>
    <w:basedOn w:val="1568"/>
    <w:pPr>
      <w:numPr>
        <w:ilvl w:val="5"/>
        <w:numId w:val="1"/>
      </w:numPr>
      <w:spacing w:after="120"/>
    </w:pPr>
    <w:rPr>
      <w:rFonts w:ascii="Verdana" w:hAnsi="Verdana"/>
      <w:sz w:val="20"/>
      <w:szCs w:val="20"/>
    </w:rPr>
  </w:style>
  <w:style w:type="paragraph" w:styleId="1757" w:customStyle="1">
    <w:name w:val="ConsNormal"/>
    <w:pPr>
      <w:ind w:firstLine="720"/>
      <w:widowControl w:val="off"/>
    </w:pPr>
    <w:rPr>
      <w:rFonts w:ascii="Arial" w:hAnsi="Arial"/>
    </w:rPr>
  </w:style>
  <w:style w:type="paragraph" w:styleId="1758">
    <w:name w:val="Normal (Web)"/>
    <w:basedOn w:val="1568"/>
    <w:pPr>
      <w:spacing w:before="100" w:beforeAutospacing="1" w:after="100" w:afterAutospacing="1"/>
    </w:pPr>
    <w:rPr>
      <w:rFonts w:ascii="Verdana" w:hAnsi="Verdana" w:cs="Verdana"/>
      <w:sz w:val="16"/>
      <w:szCs w:val="16"/>
    </w:rPr>
  </w:style>
  <w:style w:type="paragraph" w:styleId="1759">
    <w:name w:val="Title"/>
    <w:basedOn w:val="1568"/>
    <w:link w:val="1591"/>
    <w:qFormat/>
    <w:pPr>
      <w:ind w:right="-1050"/>
      <w:jc w:val="center"/>
    </w:pPr>
  </w:style>
  <w:style w:type="paragraph" w:styleId="1760" w:customStyle="1">
    <w:name w:val="Default Paragraph Font Para Char Char Знак"/>
    <w:basedOn w:val="1568"/>
    <w:pPr>
      <w:spacing w:after="160" w:line="240" w:lineRule="exact"/>
    </w:pPr>
    <w:rPr>
      <w:rFonts w:ascii="Verdana" w:hAnsi="Verdana" w:cs="Verdana"/>
      <w:sz w:val="20"/>
      <w:szCs w:val="20"/>
      <w:lang w:val="en-US" w:eastAsia="en-US"/>
    </w:rPr>
  </w:style>
  <w:style w:type="paragraph" w:styleId="1761">
    <w:name w:val="List Paragraph"/>
    <w:basedOn w:val="1568"/>
    <w:link w:val="1785"/>
    <w:uiPriority w:val="34"/>
    <w:qFormat/>
    <w:pPr>
      <w:contextualSpacing/>
      <w:ind w:left="720"/>
      <w:spacing w:after="200" w:line="276" w:lineRule="auto"/>
    </w:pPr>
    <w:rPr>
      <w:rFonts w:ascii="Calibri" w:hAnsi="Calibri"/>
      <w:sz w:val="22"/>
      <w:szCs w:val="22"/>
    </w:rPr>
  </w:style>
  <w:style w:type="paragraph" w:styleId="1762">
    <w:name w:val="footnote text"/>
    <w:basedOn w:val="1568"/>
    <w:link w:val="1772"/>
    <w:rPr>
      <w:sz w:val="20"/>
      <w:szCs w:val="20"/>
    </w:rPr>
  </w:style>
  <w:style w:type="character" w:styleId="1763">
    <w:name w:val="footnote reference"/>
    <w:uiPriority w:val="99"/>
    <w:rPr>
      <w:rFonts w:cs="Times New Roman"/>
      <w:vertAlign w:val="superscript"/>
    </w:rPr>
  </w:style>
  <w:style w:type="paragraph" w:styleId="1764">
    <w:name w:val="Header"/>
    <w:basedOn w:val="1568"/>
    <w:link w:val="1794"/>
    <w:pPr>
      <w:tabs>
        <w:tab w:val="center" w:pos="4677" w:leader="none"/>
        <w:tab w:val="right" w:pos="9355" w:leader="none"/>
      </w:tabs>
    </w:pPr>
  </w:style>
  <w:style w:type="paragraph" w:styleId="1765">
    <w:name w:val="Body Text Indent"/>
    <w:basedOn w:val="1568"/>
    <w:link w:val="1766"/>
    <w:pPr>
      <w:ind w:left="283"/>
      <w:spacing w:after="120"/>
    </w:pPr>
  </w:style>
  <w:style w:type="character" w:styleId="1766" w:customStyle="1">
    <w:name w:val="Основной текст с отступом Знак"/>
    <w:link w:val="1765"/>
    <w:rPr>
      <w:sz w:val="24"/>
      <w:szCs w:val="24"/>
    </w:rPr>
  </w:style>
  <w:style w:type="paragraph" w:styleId="1767" w:customStyle="1">
    <w:name w:val="ConsPlusNormal"/>
    <w:pPr>
      <w:ind w:firstLine="720"/>
    </w:pPr>
    <w:rPr>
      <w:rFonts w:ascii="Arial" w:hAnsi="Arial" w:cs="Arial"/>
    </w:rPr>
  </w:style>
  <w:style w:type="paragraph" w:styleId="1768" w:customStyle="1">
    <w:name w:val="Знак"/>
    <w:basedOn w:val="1568"/>
    <w:pPr>
      <w:jc w:val="right"/>
      <w:spacing w:after="160" w:line="240" w:lineRule="exact"/>
      <w:widowControl w:val="off"/>
    </w:pPr>
    <w:rPr>
      <w:rFonts w:ascii="Arial" w:hAnsi="Arial" w:cs="Arial"/>
      <w:sz w:val="20"/>
      <w:szCs w:val="20"/>
      <w:lang w:val="en-GB" w:eastAsia="en-US"/>
    </w:rPr>
  </w:style>
  <w:style w:type="paragraph" w:styleId="1769">
    <w:name w:val="Body Text 3"/>
    <w:basedOn w:val="1568"/>
    <w:link w:val="1770"/>
    <w:pPr>
      <w:spacing w:after="120"/>
    </w:pPr>
    <w:rPr>
      <w:sz w:val="16"/>
      <w:szCs w:val="16"/>
    </w:rPr>
  </w:style>
  <w:style w:type="character" w:styleId="1770" w:customStyle="1">
    <w:name w:val="Основной текст 3 Знак"/>
    <w:link w:val="1769"/>
    <w:rPr>
      <w:sz w:val="16"/>
      <w:szCs w:val="16"/>
    </w:rPr>
  </w:style>
  <w:style w:type="paragraph" w:styleId="1771">
    <w:name w:val="Body Text 2"/>
    <w:basedOn w:val="1568"/>
    <w:pPr>
      <w:spacing w:after="120" w:line="480" w:lineRule="auto"/>
    </w:pPr>
  </w:style>
  <w:style w:type="character" w:styleId="1772" w:customStyle="1">
    <w:name w:val="Текст сноски Знак"/>
    <w:link w:val="1762"/>
    <w:rPr>
      <w:lang w:val="ru-RU" w:eastAsia="ru-RU" w:bidi="ar-SA"/>
    </w:rPr>
  </w:style>
  <w:style w:type="character" w:styleId="1773" w:customStyle="1">
    <w:name w:val="Знак Знак2"/>
    <w:rPr>
      <w:lang w:val="ru-RU" w:eastAsia="ru-RU" w:bidi="ar-SA"/>
    </w:rPr>
  </w:style>
  <w:style w:type="paragraph" w:styleId="1774" w:customStyle="1">
    <w:name w:val="ConsNonformat"/>
    <w:pPr>
      <w:ind w:right="19772"/>
      <w:widowControl w:val="off"/>
    </w:pPr>
    <w:rPr>
      <w:rFonts w:ascii="Courier New" w:hAnsi="Courier New" w:eastAsia="Arial" w:cs="Courier New"/>
      <w:lang w:eastAsia="ar-SA"/>
    </w:rPr>
  </w:style>
  <w:style w:type="character" w:styleId="1775" w:customStyle="1">
    <w:name w:val="Заголовок 1 Знак1"/>
    <w:rPr>
      <w:rFonts w:hint="default" w:ascii="Arial" w:hAnsi="Arial" w:cs="Arial"/>
      <w:b/>
      <w:bCs w:val="0"/>
      <w:sz w:val="28"/>
      <w:szCs w:val="18"/>
      <w:lang w:val="ru-RU" w:eastAsia="ru-RU" w:bidi="ar-SA"/>
    </w:rPr>
  </w:style>
  <w:style w:type="table" w:styleId="1776">
    <w:name w:val="Table Grid"/>
    <w:basedOn w:val="1579"/>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777" w:customStyle="1">
    <w:name w:val="Основной текст с отступом 31"/>
    <w:basedOn w:val="1568"/>
    <w:pPr>
      <w:ind w:right="-716" w:firstLine="567"/>
      <w:jc w:val="center"/>
    </w:pPr>
    <w:rPr>
      <w:b/>
      <w:bCs/>
      <w:lang w:eastAsia="ar-SA"/>
    </w:rPr>
  </w:style>
  <w:style w:type="paragraph" w:styleId="1778" w:customStyle="1">
    <w:name w:val="FR1"/>
    <w:pPr>
      <w:jc w:val="right"/>
      <w:spacing w:before="20"/>
      <w:widowControl w:val="off"/>
    </w:pPr>
    <w:rPr>
      <w:rFonts w:ascii="Arial" w:hAnsi="Arial"/>
    </w:rPr>
  </w:style>
  <w:style w:type="character" w:styleId="1779" w:customStyle="1">
    <w:name w:val="Символ сноски"/>
    <w:rPr>
      <w:vertAlign w:val="superscript"/>
    </w:rPr>
  </w:style>
  <w:style w:type="paragraph" w:styleId="1780" w:customStyle="1">
    <w:name w:val="Основной текст 31"/>
    <w:basedOn w:val="1568"/>
    <w:pPr>
      <w:ind w:right="6237"/>
    </w:pPr>
    <w:rPr>
      <w:sz w:val="20"/>
      <w:szCs w:val="20"/>
      <w:lang w:eastAsia="ar-SA"/>
    </w:rPr>
  </w:style>
  <w:style w:type="paragraph" w:styleId="1781" w:customStyle="1">
    <w:name w:val="Основной текст с отступом 21"/>
    <w:basedOn w:val="1568"/>
    <w:pPr>
      <w:ind w:left="120" w:firstLine="700"/>
      <w:spacing w:line="256" w:lineRule="auto"/>
    </w:pPr>
    <w:rPr>
      <w:szCs w:val="20"/>
      <w:lang w:eastAsia="ar-SA"/>
    </w:rPr>
  </w:style>
  <w:style w:type="paragraph" w:styleId="1782" w:customStyle="1">
    <w:name w:val="Основной текст 21"/>
    <w:basedOn w:val="1568"/>
    <w:rPr>
      <w:szCs w:val="20"/>
      <w:lang w:eastAsia="ar-SA"/>
    </w:rPr>
  </w:style>
  <w:style w:type="character" w:styleId="1783" w:customStyle="1">
    <w:name w:val="Нижний колонтитул Знак"/>
    <w:link w:val="1749"/>
    <w:uiPriority w:val="99"/>
    <w:rPr>
      <w:sz w:val="24"/>
      <w:szCs w:val="24"/>
    </w:rPr>
  </w:style>
  <w:style w:type="character" w:styleId="1784" w:customStyle="1">
    <w:name w:val="WW8Num13z0"/>
    <w:rPr>
      <w:rFonts w:cs="Courier New"/>
      <w:color w:val="auto"/>
      <w:sz w:val="20"/>
    </w:rPr>
  </w:style>
  <w:style w:type="character" w:styleId="1785" w:customStyle="1">
    <w:name w:val="Абзац списка Знак"/>
    <w:link w:val="1761"/>
    <w:uiPriority w:val="34"/>
    <w:qFormat/>
    <w:rPr>
      <w:rFonts w:ascii="Calibri" w:hAnsi="Calibri"/>
      <w:sz w:val="22"/>
      <w:szCs w:val="22"/>
    </w:rPr>
  </w:style>
  <w:style w:type="character" w:styleId="1786">
    <w:name w:val="endnote reference"/>
    <w:rPr>
      <w:vertAlign w:val="superscript"/>
    </w:rPr>
  </w:style>
  <w:style w:type="character" w:styleId="1787">
    <w:name w:val="Hyperlink"/>
    <w:uiPriority w:val="99"/>
    <w:unhideWhenUsed/>
    <w:rPr>
      <w:color w:val="0000ff"/>
      <w:u w:val="single"/>
    </w:rPr>
  </w:style>
  <w:style w:type="character" w:styleId="1788">
    <w:name w:val="annotation reference"/>
    <w:uiPriority w:val="99"/>
    <w:unhideWhenUsed/>
    <w:rPr>
      <w:sz w:val="16"/>
      <w:szCs w:val="16"/>
    </w:rPr>
  </w:style>
  <w:style w:type="paragraph" w:styleId="1789">
    <w:name w:val="annotation text"/>
    <w:basedOn w:val="1568"/>
    <w:link w:val="1790"/>
    <w:uiPriority w:val="99"/>
    <w:unhideWhenUsed/>
    <w:rPr>
      <w:sz w:val="20"/>
      <w:szCs w:val="20"/>
      <w:lang w:eastAsia="ar-SA"/>
    </w:rPr>
  </w:style>
  <w:style w:type="character" w:styleId="1790" w:customStyle="1">
    <w:name w:val="Текст примечания Знак"/>
    <w:link w:val="1789"/>
    <w:uiPriority w:val="99"/>
    <w:rPr>
      <w:lang w:eastAsia="ar-SA"/>
    </w:rPr>
  </w:style>
  <w:style w:type="paragraph" w:styleId="1791">
    <w:name w:val="toc 2"/>
    <w:basedOn w:val="1568"/>
    <w:next w:val="1568"/>
    <w:uiPriority w:val="39"/>
    <w:pPr>
      <w:ind w:left="1134" w:right="845" w:hanging="594"/>
      <w:spacing w:before="120" w:after="120"/>
      <w:tabs>
        <w:tab w:val="right" w:pos="10195" w:leader="dot"/>
      </w:tabs>
    </w:pPr>
    <w:rPr>
      <w:b/>
      <w:szCs w:val="32"/>
      <w:lang w:val="sr-Cyrl-CS"/>
    </w:rPr>
  </w:style>
  <w:style w:type="paragraph" w:styleId="1792">
    <w:name w:val="Revision"/>
    <w:hidden/>
    <w:uiPriority w:val="99"/>
    <w:semiHidden/>
    <w:rPr>
      <w:sz w:val="24"/>
      <w:szCs w:val="24"/>
    </w:rPr>
  </w:style>
  <w:style w:type="character" w:styleId="1793" w:customStyle="1">
    <w:name w:val="WW-Символы концевой сноски"/>
  </w:style>
  <w:style w:type="character" w:styleId="1794" w:customStyle="1">
    <w:name w:val="Верхний колонтитул Знак"/>
    <w:basedOn w:val="1578"/>
    <w:link w:val="1764"/>
    <w:rPr>
      <w:sz w:val="24"/>
      <w:szCs w:val="24"/>
    </w:rPr>
  </w:style>
  <w:style w:type="character" w:styleId="1795" w:customStyle="1">
    <w:name w:val="Текст сноски Знак1"/>
    <w:basedOn w:val="1578"/>
    <w:rPr>
      <w:lang w:eastAsia="ar-SA"/>
    </w:rPr>
  </w:style>
  <w:style w:type="paragraph" w:styleId="1796" w:customStyle="1">
    <w:name w:val="Основной текст с отступом 22"/>
    <w:basedOn w:val="1568"/>
    <w:pPr>
      <w:ind w:left="283"/>
      <w:spacing w:after="120" w:line="480" w:lineRule="auto"/>
    </w:pPr>
    <w:rPr>
      <w:lang w:eastAsia="ar-SA"/>
    </w:rPr>
  </w:style>
  <w:style w:type="character" w:styleId="1797" w:customStyle="1">
    <w:name w:val="Символы концевой сноски"/>
    <w:rPr>
      <w:vertAlign w:val="superscript"/>
    </w:rPr>
  </w:style>
  <w:style w:type="paragraph" w:styleId="1798">
    <w:name w:val="Plain Text"/>
    <w:basedOn w:val="1568"/>
    <w:link w:val="1799"/>
    <w:unhideWhenUsed/>
    <w:rPr>
      <w:rFonts w:ascii="Courier New" w:hAnsi="Courier New"/>
      <w:sz w:val="20"/>
      <w:szCs w:val="20"/>
    </w:rPr>
  </w:style>
  <w:style w:type="character" w:styleId="1799" w:customStyle="1">
    <w:name w:val="Текст Знак"/>
    <w:basedOn w:val="1578"/>
    <w:link w:val="1798"/>
    <w:rPr>
      <w:rFonts w:ascii="Courier New" w:hAnsi="Courier New"/>
    </w:rPr>
  </w:style>
  <w:style w:type="character" w:styleId="1800" w:customStyle="1">
    <w:name w:val="Основной текст + Полужирный"/>
    <w:basedOn w:val="1578"/>
    <w:uiPriority w:val="99"/>
    <w:rPr>
      <w:b/>
      <w:bCs/>
      <w:i/>
      <w:iCs/>
      <w:strike w:val="0"/>
      <w:u w:val="none"/>
      <w:shd w:val="clear" w:color="auto" w:fill="ffffff"/>
    </w:rPr>
  </w:style>
  <w:style w:type="character" w:styleId="1801" w:customStyle="1">
    <w:name w:val="WW-Absatz-Standardschriftart11"/>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customXml" Target="../customXml/item2.xml" /><Relationship Id="rId13" Type="http://schemas.openxmlformats.org/officeDocument/2006/relationships/customXml" Target="../customXml/item3.xml" /><Relationship Id="rId14" Type="http://schemas.openxmlformats.org/officeDocument/2006/relationships/customXml" Target="../customXml/item4.xml" /><Relationship Id="rId15" Type="http://schemas.openxmlformats.org/officeDocument/2006/relationships/customXml" Target="../customXml/item5.xml" /><Relationship Id="rId16" Type="http://schemas.openxmlformats.org/officeDocument/2006/relationships/customXml" Target="../customXml/item6.xml" /><Relationship Id="rId17" Type="http://schemas.openxmlformats.org/officeDocument/2006/relationships/hyperlink" Target="https://rosseti-lenenergo.ru/tenders/management/." TargetMode="External"/><Relationship Id="rId18" Type="http://schemas.openxmlformats.org/officeDocument/2006/relationships/hyperlink" Target="https://rosseti-lenenergo.ru/tenders/management/" TargetMode="External"/><Relationship Id="rId19" Type="http://schemas.openxmlformats.org/officeDocument/2006/relationships/hyperlink" Target="https://rosseti-lenenergo.ru/about/osnovnay_deiatelnost/vzaimodeystvie-so-storonnimi-organizatsiyami/" TargetMode="External"/><Relationship Id="rId20" Type="http://schemas.onlyoffice.com/commentsDocument" Target="commentsDocument.xml" /><Relationship Id="rId21" Type="http://schemas.onlyoffice.com/commentsExtendedDocument" Target="commentsExtendedDocument.xml" /><Relationship Id="rId22" Type="http://schemas.onlyoffice.com/commentsIdsDocument" Target="commentsIdsDocument.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 /></Relationships>
</file>

<file path=customXml/_rels/item6.xml.rels><?xml version="1.0" encoding="UTF-8" standalone="yes"?><Relationships xmlns="http://schemas.openxmlformats.org/package/2006/relationships"><Relationship Id="rId1" Type="http://schemas.openxmlformats.org/officeDocument/2006/relationships/customXmlProps" Target="itemProps6.xml" /></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Вложение" ma:contentTypeID="0x010100355FBFFF1FCF49619411784FC9BE36EB002584A2AAB6D6DD48B2C1EF6CB26D543B" ma:contentTypeVersion="7" ma:contentTypeDescription="Файл вложения в РКК" ma:contentTypeScope="" ma:versionID="7dc3b835adf8d286076c90318a3646e5">
  <xsd:schema xmlns:xsd="http://www.w3.org/2001/XMLSchema" xmlns:xs="http://www.w3.org/2001/XMLSchema" xmlns:p="http://schemas.microsoft.com/office/2006/metadata/properties" xmlns:ns2="ac894885-9a97-4f60-9d8f-265904d7f808" xmlns:ns3="87D696D5-61EB-46C3-A090-F867056E698B" xmlns:ns4="87d696d5-61eb-46c3-a090-f867056e698b" targetNamespace="http://schemas.microsoft.com/office/2006/metadata/properties" ma:root="true" ma:fieldsID="22fc31df18d25f8eb51576b0cefebed7" ns2:_="" ns3:_="" ns4:_="">
    <xsd:import namespace="ac894885-9a97-4f60-9d8f-265904d7f808"/>
    <xsd:import namespace="87D696D5-61EB-46C3-A090-F867056E698B"/>
    <xsd:import namespace="87d696d5-61eb-46c3-a090-f867056e698b"/>
    <xsd:element name="properties">
      <xsd:complexType>
        <xsd:sequence>
          <xsd:element name="documentManagement">
            <xsd:complexType>
              <xsd:all>
                <xsd:element ref="ns2:_dlc_DocId" minOccurs="0"/>
                <xsd:element ref="ns2:_dlc_DocIdUrl" minOccurs="0"/>
                <xsd:element ref="ns2:_dlc_DocIdPersistId" minOccurs="0"/>
                <xsd:element ref="ns3:dsAttachmentType"/>
                <xsd:element ref="ns4:CtDsParentPurchaseID" minOccurs="0"/>
                <xsd:element ref="ns4:CtDsParentPurchaseLookup" minOccurs="0"/>
                <xsd:element ref="ns3:dsDocType" minOccurs="0"/>
                <xsd:element ref="ns3:DocKind" minOccurs="0"/>
                <xsd:element ref="ns4:hexUID" minOccurs="0"/>
                <xsd:element ref="ns4:DsSaperionFileName" minOccurs="0"/>
                <xsd:element ref="ns2:lenDocumentGrou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894885-9a97-4f60-9d8f-265904d7f80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element name="lenDocumentGroup" ma:index="19" nillable="true" ma:displayName="Группа документов" ma:default="03. Комплект документов на закупку" ma:format="Dropdown" ma:internalName="lenDocumentGroup">
      <xsd:simpleType>
        <xsd:restriction base="dms:Choice">
          <xsd:enumeration value="01. Распорядительные документы"/>
          <xsd:enumeration value="02. Расчеты"/>
          <xsd:enumeration value="03. Комплект документов на закупку"/>
          <xsd:enumeration value="04. Конкурсная документация"/>
          <xsd:enumeration value="05. Протоколы, составленные в ходе закупки"/>
          <xsd:enumeration value="06. Предложения"/>
          <xsd:enumeration value="07. Иные документы"/>
          <xsd:enumeration value="08. Повторное выставление"/>
        </xsd:restriction>
      </xsd:simpleType>
    </xsd:element>
  </xsd:schema>
  <xsd:schema xmlns:xsd="http://www.w3.org/2001/XMLSchema" xmlns:xs="http://www.w3.org/2001/XMLSchema" xmlns:dms="http://schemas.microsoft.com/office/2006/documentManagement/types" xmlns:pc="http://schemas.microsoft.com/office/infopath/2007/PartnerControls" targetNamespace="87D696D5-61EB-46C3-A090-F867056E698B" elementFormDefault="qualified">
    <xsd:import namespace="http://schemas.microsoft.com/office/2006/documentManagement/types"/>
    <xsd:import namespace="http://schemas.microsoft.com/office/infopath/2007/PartnerControls"/>
    <xsd:element name="dsAttachmentType" ma:index="11" ma:displayName="Тип вложения" ma:default="Иные документы" ma:format="Dropdown" ma:internalName="dsAttachmentType" ma:readOnly="false">
      <xsd:simpleType>
        <xsd:restriction base="dms:Choice">
          <xsd:enumeration value="Аналитическая_записка"/>
          <xsd:enumeration value="Аукционная заявка"/>
          <xsd:enumeration value="Выписка из ГКПЗ"/>
          <xsd:enumeration value="Договор инициатора"/>
          <xsd:enumeration value="Журнал регистрации заявок"/>
          <xsd:enumeration value="Извещение о внесении изменений"/>
          <xsd:enumeration value="Извещение о проведении закупки"/>
          <xsd:enumeration value="Иные документы"/>
          <xsd:enumeration value="Итоговый протокол"/>
          <xsd:enumeration value="Конкурсная документация"/>
          <xsd:enumeration value="Конкурсная заявка участника"/>
          <xsd:enumeration value="Обоснование стоимости"/>
          <xsd:enumeration value="Письмо"/>
          <xsd:enumeration value="Повторное выставление"/>
          <xsd:enumeration value="Поручение на проведение закупочных процедур"/>
          <xsd:enumeration value="Поручение с визой ДИ"/>
          <xsd:enumeration value="Предложения участника"/>
          <xsd:enumeration value="Протокол вскрытия конвертов"/>
          <xsd:enumeration value="Протокол дозапроса документов"/>
          <xsd:enumeration value="Протокол о внесении изменений"/>
          <xsd:enumeration value="Протокол переговоров с участниками"/>
          <xsd:enumeration value="Протокол переторжки"/>
          <xsd:enumeration value="Протокол рабочего совещания комиссии"/>
          <xsd:enumeration value="Протокол рассмотрения"/>
          <xsd:enumeration value="Протокол результатов"/>
          <xsd:enumeration value="Протокол ЦЗО"/>
          <xsd:enumeration value="Распоряжение на проведение закупки"/>
          <xsd:enumeration value="СЗ_запрос_на_согласование_внеплан._закупки"/>
          <xsd:enumeration value="СЗ_ответ_о_согласовании_внеплан._закупки"/>
          <xsd:enumeration value="Служебная записка"/>
          <xsd:enumeration value="Смета"/>
          <xsd:enumeration value="Техническое_задание"/>
          <xsd:enumeration value="Типовая форма договора"/>
          <xsd:enumeration value="Уведомление"/>
          <xsd:enumeration value="Уведомление о принятом решении ЦЗО"/>
          <xsd:enumeration value="Экспертное заключение"/>
        </xsd:restriction>
      </xsd:simpleType>
    </xsd:element>
    <xsd:element name="dsDocType" ma:index="15" nillable="true" ma:displayName="Тип документа" ma:internalName="dsDocType" ma:readOnly="true">
      <xsd:simpleType>
        <xsd:restriction base="dms:Text"/>
      </xsd:simpleType>
    </xsd:element>
    <xsd:element name="DocKind" ma:index="16" nillable="true" ma:displayName="Вид документа" ma:internalName="DocKin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d696d5-61eb-46c3-a090-f867056e698b" elementFormDefault="qualified">
    <xsd:import namespace="http://schemas.microsoft.com/office/2006/documentManagement/types"/>
    <xsd:import namespace="http://schemas.microsoft.com/office/infopath/2007/PartnerControls"/>
    <xsd:element name="CtDsParentPurchaseID" ma:index="13" nillable="true" ma:displayName="CtDsParentPurchaseID" ma:hidden="true" ma:internalName="CtDsParentPurchaseID">
      <xsd:simpleType>
        <xsd:restriction base="dms:Text"/>
      </xsd:simpleType>
    </xsd:element>
    <xsd:element name="CtDsParentPurchaseLookup" ma:index="14" nillable="true" ma:displayName="CtDsParentPurchaseLookup" ma:hidden="true" ma:list="87d696d5-61eb-46c3-a090-f867056e698b" ma:internalName="CtDsParentPurchaseLookup" ma:showField="ID" ma:web="ac894885-9a97-4f60-9d8f-265904d7f808">
      <xsd:simpleType>
        <xsd:restriction base="dms:Lookup"/>
      </xsd:simpleType>
    </xsd:element>
    <xsd:element name="hexUID" ma:index="17" nillable="true" ma:displayName="Идентификатор документ Saperion" ma:internalName="hexUID">
      <xsd:simpleType>
        <xsd:restriction base="dms:Text"/>
      </xsd:simpleType>
    </xsd:element>
    <xsd:element name="DsSaperionFileName" ma:index="18" nillable="true" ma:displayName="Имя исходного файла" ma:internalName="DsSaperionFileNam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documentManagement>
    <hexUID xmlns="87d696d5-61eb-46c3-a090-f867056e698b" xsi:nil="true"/>
    <CtDsParentPurchaseID xmlns="87d696d5-61eb-46c3-a090-f867056e698b" xsi:nil="true"/>
    <CtDsParentPurchaseLookup xmlns="87d696d5-61eb-46c3-a090-f867056e698b" xsi:nil="true"/>
    <lenDocumentGroup xmlns="ac894885-9a97-4f60-9d8f-265904d7f808">03. Комплект документов на закупку</lenDocumentGroup>
    <dsAttachmentType xmlns="87D696D5-61EB-46C3-A090-F867056E698B">Типовая форма договора</dsAttachmentType>
    <DsSaperionFileName xmlns="87d696d5-61eb-46c3-a090-f867056e698b" xsi:nil="true"/>
    <DocKind xmlns="87D696D5-61EB-46C3-A090-F867056E698B">Рамочный лот (изм.положения с 2014)</DocKind>
    <dsDocType xmlns="87D696D5-61EB-46C3-A090-F867056E698B">Рамочный лот</dsDocType>
    <_dlc_DocId xmlns="ac894885-9a97-4f60-9d8f-265904d7f808">UFQHHMXK7F3H-8-290978</_dlc_DocId>
    <_dlc_DocIdUrl xmlns="ac894885-9a97-4f60-9d8f-265904d7f808">
      <Url>http://len-purchase.energo.ru/_layouts/DocIdRedir.aspx?ID=UFQHHMXK7F3H-8-290978</Url>
      <Description>UFQHHMXK7F3H-8-290978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1BC9B7-203A-4B55-8824-DA0920EB5D99}">
  <ds:schemaRefs>
    <ds:schemaRef ds:uri="http://schemas.microsoft.com/office/2006/metadata/longProperties"/>
  </ds:schemaRefs>
</ds:datastoreItem>
</file>

<file path=customXml/itemProps2.xml><?xml version="1.0" encoding="utf-8"?>
<ds:datastoreItem xmlns:ds="http://schemas.openxmlformats.org/officeDocument/2006/customXml" ds:itemID="{720A5754-6988-4B8A-899D-C44D408FF371}">
  <ds:schemaRefs>
    <ds:schemaRef ds:uri="http://schemas.microsoft.com/sharepoint/events"/>
  </ds:schemaRefs>
</ds:datastoreItem>
</file>

<file path=customXml/itemProps3.xml><?xml version="1.0" encoding="utf-8"?>
<ds:datastoreItem xmlns:ds="http://schemas.openxmlformats.org/officeDocument/2006/customXml" ds:itemID="{A05BC818-8214-45E5-8B73-2A6F11F7C1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894885-9a97-4f60-9d8f-265904d7f808"/>
    <ds:schemaRef ds:uri="87D696D5-61EB-46C3-A090-F867056E698B"/>
    <ds:schemaRef ds:uri="87d696d5-61eb-46c3-a090-f867056e69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F564F2-53EF-4939-A779-30A30446859E}">
  <ds:schemaRefs>
    <ds:schemaRef ds:uri="http://schemas.openxmlformats.org/officeDocument/2006/bibliography"/>
  </ds:schemaRefs>
</ds:datastoreItem>
</file>

<file path=customXml/itemProps5.xml><?xml version="1.0" encoding="utf-8"?>
<ds:datastoreItem xmlns:ds="http://schemas.openxmlformats.org/officeDocument/2006/customXml" ds:itemID="{3733D180-0EBE-4176-8C5C-F1C6EA17E8B7}">
  <ds:schemaRefs>
    <ds:schemaRef ds:uri="http://schemas.microsoft.com/office/2006/metadata/properties"/>
    <ds:schemaRef ds:uri="87d696d5-61eb-46c3-a090-f867056e698b"/>
    <ds:schemaRef ds:uri="ac894885-9a97-4f60-9d8f-265904d7f808"/>
    <ds:schemaRef ds:uri="87D696D5-61EB-46C3-A090-F867056E698B"/>
  </ds:schemaRefs>
</ds:datastoreItem>
</file>

<file path=customXml/itemProps6.xml><?xml version="1.0" encoding="utf-8"?>
<ds:datastoreItem xmlns:ds="http://schemas.openxmlformats.org/officeDocument/2006/customXml" ds:itemID="{D4A45117-AA84-431A-ABF0-235B605752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Application>Р7-Офис/2026.1.2.1942</Application>
  <Company>*</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DIT</dc:creator>
  <cp:lastModifiedBy>podolskiy.va</cp:lastModifiedBy>
  <cp:revision>31</cp:revision>
  <dcterms:created xsi:type="dcterms:W3CDTF">2024-12-12T17:17:00Z</dcterms:created>
  <dcterms:modified xsi:type="dcterms:W3CDTF">2026-05-14T13:01:54Z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UFQHHMXK7F3H-8-58520</vt:lpwstr>
  </property>
  <property fmtid="{D5CDD505-2E9C-101B-9397-08002B2CF9AE}" pid="3" name="_dlc_DocIdItemGuid">
    <vt:lpwstr>8ecf171f-90e0-499a-9ab8-e592f88ee2ca</vt:lpwstr>
  </property>
  <property fmtid="{D5CDD505-2E9C-101B-9397-08002B2CF9AE}" pid="4" name="_dlc_DocIdUrl">
    <vt:lpwstr>http://len-purchase/_layouts/DocIdRedir.aspx?ID=UFQHHMXK7F3H-8-58520, UFQHHMXK7F3H-8-58520</vt:lpwstr>
  </property>
  <property fmtid="{D5CDD505-2E9C-101B-9397-08002B2CF9AE}" pid="5" name="DocKind">
    <vt:lpwstr>Рамочный лот 2014</vt:lpwstr>
  </property>
  <property fmtid="{D5CDD505-2E9C-101B-9397-08002B2CF9AE}" pid="6" name="dsDocType">
    <vt:lpwstr>Рамочный лот</vt:lpwstr>
  </property>
  <property fmtid="{D5CDD505-2E9C-101B-9397-08002B2CF9AE}" pid="7" name="ContentTypeId">
    <vt:lpwstr>0x010100355FBFFF1FCF49619411784FC9BE36EB002584A2AAB6D6DD48B2C1EF6CB26D543B</vt:lpwstr>
  </property>
</Properties>
</file>